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rPr>
          <w:b/>
          <w:bCs/>
        </w:rPr>
      </w:pPr>
      <w:r>
        <w:rPr>
          <w:b/>
          <w:bCs/>
        </w:rPr>
        <w:t>Адреса и координаты ярмарочных площадок</w:t>
      </w:r>
    </w:p>
    <w:p>
      <w:pPr>
        <w:pStyle w:val="Normal"/>
        <w:bidi w:val="0"/>
        <w:rPr>
          <w:b/>
          <w:bCs/>
        </w:rPr>
      </w:pPr>
      <w:r>
        <w:rPr>
          <w:b/>
          <w:bCs/>
        </w:rPr>
        <w:t>городов Казань, Набережные Челны и</w:t>
      </w:r>
    </w:p>
    <w:p>
      <w:pPr>
        <w:pStyle w:val="Normal"/>
        <w:bidi w:val="0"/>
        <w:rPr>
          <w:b/>
          <w:bCs/>
        </w:rPr>
      </w:pPr>
      <w:r>
        <w:rPr>
          <w:b/>
          <w:bCs/>
        </w:rPr>
        <w:t>Зеленодольского муниципального района РТ</w:t>
      </w:r>
    </w:p>
    <w:p>
      <w:pPr>
        <w:pStyle w:val="Normal"/>
        <w:bidi w:val="0"/>
        <w:rPr>
          <w:b/>
          <w:bCs/>
        </w:rPr>
      </w:pPr>
      <w:r>
        <w:rPr>
          <w:b/>
          <w:bCs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2"/>
      </w:tblGrid>
      <w:tr>
        <w:trPr/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Наименование ярмарок</w:t>
            </w:r>
          </w:p>
        </w:tc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Сельскохозяйственные</w:t>
            </w:r>
          </w:p>
        </w:tc>
      </w:tr>
      <w:tr>
        <w:trPr/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Тип</w:t>
            </w:r>
          </w:p>
        </w:tc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Сезонные универсальные</w:t>
            </w:r>
          </w:p>
        </w:tc>
      </w:tr>
      <w:tr>
        <w:trPr/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Периодичность проведения</w:t>
            </w:r>
          </w:p>
        </w:tc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Ежегодные в весенний и осенне-зимний периоды</w:t>
            </w:r>
          </w:p>
        </w:tc>
      </w:tr>
      <w:tr>
        <w:trPr/>
        <w:tc>
          <w:tcPr>
            <w:tcW w:w="5102" w:type="dxa"/>
            <w:tcBorders/>
          </w:tcPr>
          <w:p>
            <w:pPr>
              <w:pStyle w:val="Normal"/>
              <w:widowControl w:val="false"/>
              <w:bidi w:val="0"/>
              <w:rPr/>
            </w:pPr>
            <w:r>
              <w:rPr/>
              <w:t>Реквизиты правового акта об</w:t>
            </w:r>
          </w:p>
          <w:p>
            <w:pPr>
              <w:pStyle w:val="Normal"/>
              <w:widowControl w:val="false"/>
              <w:bidi w:val="0"/>
              <w:rPr/>
            </w:pPr>
            <w:r>
              <w:rPr/>
              <w:t>организации ярмарки</w:t>
            </w:r>
          </w:p>
          <w:p>
            <w:pPr>
              <w:pStyle w:val="Style37"/>
              <w:widowControl w:val="false"/>
              <w:bidi w:val="0"/>
              <w:rPr/>
            </w:pPr>
            <w:r>
              <w:rPr/>
            </w:r>
          </w:p>
        </w:tc>
        <w:tc>
          <w:tcPr>
            <w:tcW w:w="5102" w:type="dxa"/>
            <w:tcBorders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Распоряжение Кабинета Министров Республики Татарстан № 1818-р от 26.08.2026,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приказ Министерства сельского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хозяйства и продовольствия Республики Татарстан № 310/2-пр от 02.09.2026</w:t>
            </w:r>
          </w:p>
          <w:p>
            <w:pPr>
              <w:pStyle w:val="Style37"/>
              <w:widowControl w:val="false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Режим работы</w:t>
            </w:r>
          </w:p>
        </w:tc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Еженедельно по субботам</w:t>
            </w:r>
          </w:p>
          <w:p>
            <w:pPr>
              <w:pStyle w:val="Style37"/>
              <w:widowControl w:val="false"/>
              <w:bidi w:val="0"/>
              <w:rPr/>
            </w:pPr>
            <w:r>
              <w:rPr/>
            </w:r>
          </w:p>
          <w:p>
            <w:pPr>
              <w:pStyle w:val="Style37"/>
              <w:widowControl w:val="false"/>
              <w:bidi w:val="0"/>
              <w:rPr/>
            </w:pPr>
            <w:r>
              <w:rPr/>
            </w:r>
          </w:p>
          <w:p>
            <w:pPr>
              <w:pStyle w:val="Style37"/>
              <w:widowControl w:val="false"/>
              <w:bidi w:val="0"/>
              <w:rPr/>
            </w:pPr>
            <w:r>
              <w:rPr/>
            </w:r>
          </w:p>
        </w:tc>
      </w:tr>
      <w:tr>
        <w:trPr/>
        <w:tc>
          <w:tcPr>
            <w:tcW w:w="5102" w:type="dxa"/>
            <w:tcBorders/>
          </w:tcPr>
          <w:p>
            <w:pPr>
              <w:pStyle w:val="Style37"/>
              <w:widowControl w:val="false"/>
              <w:bidi w:val="0"/>
              <w:rPr/>
            </w:pPr>
            <w:r>
              <w:rPr/>
              <w:t>Места проведения ярмарок</w:t>
            </w:r>
          </w:p>
        </w:tc>
        <w:tc>
          <w:tcPr>
            <w:tcW w:w="5102" w:type="dxa"/>
            <w:tcBorders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b/>
                <w:bCs/>
              </w:rPr>
              <w:t>г. Казань: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1. Открытая торговая площадка АО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«Агропромышленный парк «Казань» (Советский район, улица Аграрная, 2) (55.793981, 49.211359);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2. Площадка перед гипермаркетом «СПАР» (Ново-Савиновский район, проспект Хусаина Ямашева, 71а) (55.826597, 49.135416);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3. Площадка на территории рынка «Дерби» (Советский район, посёлок Дербышки, улица Липатова, 7) (55.870926, 49.221458);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4. Авиастроительный район, улица Беломорская, 6)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 xml:space="preserve"> </w:t>
            </w:r>
            <w:r>
              <w:rPr>
                <w:shd w:fill="FFFFFF" w:val="clear"/>
              </w:rPr>
              <w:t>55.864545, 49.085923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5. Площадка перед парком имени Карима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Тинчурина (пересечение ул. Карима Тинчурина и ул. Татарстан)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(55.775587, 49.107282)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6. Проспект Победы, 46 В (55.747761, 49.207085)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7. Шатровая площадка (ул. Дементьева, 7)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ascii="YS Text;Helvetica Neue;Helvetica;Arial;sans-serif" w:hAnsi="YS Text;Helvetica Neue;Helvetica;Arial;sans-serif"/>
                <w:b w:val="false"/>
                <w:i w:val="false"/>
                <w:caps w:val="false"/>
                <w:smallCaps w:val="false"/>
                <w:color w:val="1A1A1A"/>
                <w:spacing w:val="0"/>
                <w:sz w:val="23"/>
              </w:rPr>
              <w:t>(</w:t>
            </w:r>
            <w:r>
              <w:rPr/>
              <w:t>55.859160, 49.100611).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8. Площадка в посёлке Юдино (Кировский район, посёлок Юдино, улица Революционная, 12)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(55.817678, 48.894736);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9. Шатровая площадка по ул. Батыршина, 20 (55.822989, 49.057806)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10.</w:t>
            </w:r>
            <w:r>
              <w:rPr>
                <w:shd w:fill="auto" w:val="clear"/>
              </w:rPr>
              <w:t xml:space="preserve"> Шатровая площадка по ул. Ю. Фучика, 64  (55.754246, 49.231760)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11. Шатровая площадка по ул. Академика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Лаврентьева, 10 (55.831680, 49.142774);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 xml:space="preserve">12. Московский район, Ш.Усманова, 1 </w:t>
            </w:r>
            <w:r>
              <w:rPr>
                <w:shd w:fill="FFFFFF" w:val="clear"/>
              </w:rPr>
              <w:t>55.828177, 49.080021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13. Жилой массив Салават Купере 2 (Кировский район, ул.А.Авзаловой, д.15) (55.852874, 48.897062)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  <w:p>
            <w:pPr>
              <w:pStyle w:val="Style37"/>
              <w:widowControl w:val="false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Еженедельно по воскресеньям</w:t>
            </w:r>
          </w:p>
          <w:p>
            <w:pPr>
              <w:pStyle w:val="Style37"/>
              <w:widowControl w:val="false"/>
              <w:bidi w:val="0"/>
              <w:rPr/>
            </w:pPr>
            <w:r>
              <w:rPr/>
              <w:t>14. Площадка на пересечение улиц Беломорская и Гудованцева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 xml:space="preserve">                  </w:t>
            </w:r>
            <w:r>
              <w:rPr/>
              <w:t>(55.867139, 49.020719)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г.Набережные Челны: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1. Площадка перед стадион «Строитель»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(Комсомольский район, набережная Габдуллы Тукая, 16)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(55.681118, 52.302582);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2. Территория Ипподрома (Автозаводской район, проспект Чулман)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(55.762071, 52.405831).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hd w:fill="auto" w:val="clear"/>
              </w:rPr>
              <w:t>Зеленодольский муниципальный район РТ: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1. Технополис «Новая Тура», площадка возле павильона №1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 </w:t>
            </w:r>
            <w:r>
              <w:rPr>
                <w:shd w:fill="auto" w:val="clear"/>
              </w:rPr>
              <w:t>(55.858197, 48.833007);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2. Площадка перед Торговым центром «Эссен» (пос. Осиново, улица Садовая, 9)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(55.872905, 48.882338).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Normal"/>
              <w:widowControl w:val="false"/>
              <w:bidi w:val="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hd w:fill="auto" w:val="clear"/>
              </w:rPr>
              <w:t>г.Нижнекамск: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1.  пр. Шинников, 10 В (Торговый центр «Манзара»)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55.643378, 51.816038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2. ул. Проспект строителей, 2Б (Площадка на центральном рынке ООО «Комета»)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(55.624708, 51.819560)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b/>
                <w:bCs/>
              </w:rPr>
              <w:t>пгт.</w:t>
            </w:r>
            <w:r>
              <w:rPr>
                <w:b/>
                <w:bCs/>
              </w:rPr>
              <w:t xml:space="preserve"> Камские поляны:</w:t>
            </w:r>
          </w:p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hd w:fill="auto" w:val="clear"/>
              </w:rPr>
              <w:t xml:space="preserve">1. </w:t>
            </w:r>
            <w:r>
              <w:rPr>
                <w:b w:val="false"/>
                <w:bCs w:val="false"/>
                <w:color w:val="000000"/>
                <w:spacing w:val="0"/>
                <w:kern w:val="0"/>
                <w:sz w:val="28"/>
                <w:szCs w:val="20"/>
                <w:shd w:fill="auto" w:val="clear"/>
              </w:rPr>
              <w:t>территория парковки ледового дворца «Олимпия», 4/14</w:t>
            </w:r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bCs w:val="false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hd w:fill="auto" w:val="clear"/>
              </w:rPr>
              <w:t>55.431576, 51.420833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rPr/>
      </w:pPr>
      <w:r>
        <w:rPr/>
        <w:t>*-координаты определены при помощи интернет-ресурсов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YS Text">
    <w:altName w:val="Helvetica Neue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lef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left="709" w:right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left="0" w:right="0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AnnotationText">
    <w:name w:val="Annotation Text"/>
    <w:basedOn w:val="BodyText"/>
    <w:qFormat/>
    <w:pPr>
      <w:ind w:hanging="0" w:left="0" w:right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left="0" w:right="0"/>
    </w:pPr>
    <w:rPr/>
  </w:style>
  <w:style w:type="paragraph" w:styleId="11">
    <w:name w:val="Нумерованный 1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left="0" w:right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qFormat/>
    <w:pPr>
      <w:spacing w:before="0" w:after="0"/>
      <w:ind w:hanging="0" w:left="0" w:right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left="0" w:right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left="0" w:right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qFormat/>
    <w:pPr>
      <w:spacing w:before="0" w:after="0"/>
      <w:ind w:hanging="0" w:left="0" w:right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left="0" w:right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qFormat/>
    <w:pPr>
      <w:spacing w:before="0" w:after="0"/>
      <w:ind w:hanging="0" w:left="0" w:right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left="0" w:right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qFormat/>
    <w:pPr>
      <w:spacing w:before="0" w:after="0"/>
      <w:ind w:hanging="0" w:left="0" w:right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left="0" w:right="0"/>
    </w:pPr>
    <w:rPr/>
  </w:style>
  <w:style w:type="paragraph" w:styleId="14">
    <w:name w:val="Список 1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qFormat/>
    <w:pPr>
      <w:spacing w:before="0" w:after="0"/>
      <w:ind w:hanging="0" w:left="0" w:right="0"/>
    </w:pPr>
    <w:rPr/>
  </w:style>
  <w:style w:type="paragraph" w:styleId="23">
    <w:name w:val="Список 2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24">
    <w:name w:val="Список 2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qFormat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qFormat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qFormat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qFormat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qFormat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qFormat/>
    <w:pPr>
      <w:spacing w:before="0" w:after="0"/>
      <w:ind w:hanging="0" w:left="0" w:right="0"/>
    </w:pPr>
    <w:rPr/>
  </w:style>
  <w:style w:type="paragraph" w:styleId="IndexHeading">
    <w:name w:val="Index Heading"/>
    <w:basedOn w:val="Style23"/>
    <w:pPr>
      <w:ind w:hanging="0" w:left="0" w:right="0"/>
    </w:pPr>
    <w:rPr/>
  </w:style>
  <w:style w:type="paragraph" w:styleId="Index1">
    <w:name w:val="Index 1"/>
    <w:basedOn w:val="Style24"/>
    <w:pPr>
      <w:ind w:hanging="0" w:left="0" w:right="0"/>
    </w:pPr>
    <w:rPr/>
  </w:style>
  <w:style w:type="paragraph" w:styleId="Index2">
    <w:name w:val="Index 2"/>
    <w:basedOn w:val="Style24"/>
    <w:pPr>
      <w:ind w:hanging="0" w:left="0" w:right="0"/>
    </w:pPr>
    <w:rPr/>
  </w:style>
  <w:style w:type="paragraph" w:styleId="Index3">
    <w:name w:val="Index 3"/>
    <w:basedOn w:val="Style24"/>
    <w:pPr>
      <w:ind w:hanging="0" w:left="0" w:right="0"/>
    </w:pPr>
    <w:rPr/>
  </w:style>
  <w:style w:type="paragraph" w:styleId="Style28">
    <w:name w:val="Разделитель предметного указателя"/>
    <w:basedOn w:val="Style24"/>
    <w:qFormat/>
    <w:pPr>
      <w:ind w:hanging="0" w:left="0" w:right="0"/>
    </w:pPr>
    <w:rPr/>
  </w:style>
  <w:style w:type="paragraph" w:styleId="TOCHeading">
    <w:name w:val="TOC Heading"/>
    <w:basedOn w:val="Style23"/>
    <w:next w:val="TOC1"/>
    <w:qFormat/>
    <w:pPr>
      <w:ind w:hanging="0" w:left="0" w:right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0">
    <w:name w:val="Заголовок списка объектов"/>
    <w:basedOn w:val="Style23"/>
    <w:qFormat/>
    <w:pPr>
      <w:ind w:hanging="0" w:left="0" w:right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1">
    <w:name w:val="Заголовок списка таблиц"/>
    <w:basedOn w:val="Style23"/>
    <w:qFormat/>
    <w:pPr>
      <w:ind w:hanging="0" w:left="0" w:right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3"/>
    <w:qFormat/>
    <w:pPr>
      <w:ind w:hanging="0" w:left="0" w:right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Style4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4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5">
    <w:name w:val="Содержимое списка"/>
    <w:basedOn w:val="Normal"/>
    <w:qFormat/>
    <w:pPr>
      <w:ind w:hanging="0" w:left="0" w:right="0"/>
    </w:pPr>
    <w:rPr/>
  </w:style>
  <w:style w:type="paragraph" w:styleId="Style46">
    <w:name w:val="Заголовок списка"/>
    <w:basedOn w:val="Normal"/>
    <w:next w:val="Style45"/>
    <w:qFormat/>
    <w:pPr>
      <w:ind w:hanging="0" w:left="0" w:right="0"/>
    </w:pPr>
    <w:rPr/>
  </w:style>
  <w:style w:type="paragraph" w:styleId="Style47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48">
    <w:name w:val="Исполнитель документа"/>
    <w:basedOn w:val="Normal"/>
    <w:qFormat/>
    <w:pPr>
      <w:jc w:val="left"/>
    </w:pPr>
    <w:rPr>
      <w:sz w:val="24"/>
    </w:rPr>
  </w:style>
  <w:style w:type="paragraph" w:styleId="Style49">
    <w:name w:val="Заголовок списка иллюстраций"/>
    <w:basedOn w:val="Style23"/>
    <w:qFormat/>
    <w:pPr>
      <w:suppressLineNumbers/>
      <w:ind w:hanging="0" w:left="0" w:right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0">
    <w:name w:val="Маркированный •"/>
    <w:qFormat/>
  </w:style>
  <w:style w:type="numbering" w:styleId="Style51">
    <w:name w:val="Маркированный –"/>
    <w:qFormat/>
  </w:style>
  <w:style w:type="numbering" w:styleId="Style52">
    <w:name w:val="Маркированный "/>
    <w:qFormat/>
  </w:style>
  <w:style w:type="numbering" w:styleId="Style53">
    <w:name w:val="Маркированный "/>
    <w:qFormat/>
  </w:style>
  <w:style w:type="numbering" w:styleId="Style54">
    <w:name w:val="Маркированный "/>
    <w:qFormat/>
  </w:style>
  <w:style w:type="numbering" w:styleId="19">
    <w:name w:val="Нумерованный 1)"/>
    <w:qFormat/>
  </w:style>
  <w:style w:type="numbering" w:styleId="Style55">
    <w:name w:val="Нумерованный а)"/>
    <w:qFormat/>
  </w:style>
  <w:style w:type="numbering" w:styleId="Style5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230</TotalTime>
  <Application>LibreOffice/7.6.7.2$Linux_X86_64 LibreOffice_project/60$Build-2</Application>
  <AppVersion>15.0000</AppVersion>
  <Pages>3</Pages>
  <Words>315</Words>
  <Characters>2270</Characters>
  <CharactersWithSpaces>2545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2024-09-11T12:35:56Z</dcterms:created>
  <dc:creator/>
  <dc:description/>
  <dc:language>ru-RU</dc:language>
  <cp:lastModifiedBy/>
  <dcterms:modified xsi:type="dcterms:W3CDTF">2026-09-07T13:38:00Z</dcterms:modified>
  <cp:revision>11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