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>
          <w:b/>
          <w:bCs/>
        </w:rPr>
      </w:pPr>
      <w:r>
        <w:rPr>
          <w:b/>
          <w:bCs/>
        </w:rPr>
        <w:t>Адреса и координаты ярмарочных площадок</w:t>
      </w:r>
    </w:p>
    <w:p>
      <w:pPr>
        <w:pStyle w:val="Normal"/>
        <w:bidi w:val="0"/>
        <w:rPr>
          <w:b/>
          <w:bCs/>
        </w:rPr>
      </w:pPr>
      <w:r>
        <w:rPr>
          <w:b/>
          <w:bCs/>
        </w:rPr>
        <w:t>городов Казань, Набережные Челны и</w:t>
      </w:r>
    </w:p>
    <w:p>
      <w:pPr>
        <w:pStyle w:val="Normal"/>
        <w:bidi w:val="0"/>
        <w:rPr>
          <w:b/>
          <w:bCs/>
        </w:rPr>
      </w:pPr>
      <w:r>
        <w:rPr>
          <w:b/>
          <w:bCs/>
        </w:rPr>
        <w:t>Зеленодольского муниципального района РТ</w:t>
      </w:r>
    </w:p>
    <w:p>
      <w:pPr>
        <w:pStyle w:val="Normal"/>
        <w:bidi w:val="0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103"/>
      </w:tblGrid>
      <w:tr>
        <w:trPr/>
        <w:tc>
          <w:tcPr>
            <w:tcW w:w="5102" w:type="dxa"/>
            <w:tcBorders/>
          </w:tcPr>
          <w:p>
            <w:pPr>
              <w:pStyle w:val="Style59"/>
              <w:bidi w:val="0"/>
              <w:rPr/>
            </w:pPr>
            <w:r>
              <w:rPr/>
              <w:t>Наименование ярмарок</w:t>
            </w:r>
          </w:p>
        </w:tc>
        <w:tc>
          <w:tcPr>
            <w:tcW w:w="5103" w:type="dxa"/>
            <w:tcBorders/>
          </w:tcPr>
          <w:p>
            <w:pPr>
              <w:pStyle w:val="Style59"/>
              <w:bidi w:val="0"/>
              <w:rPr/>
            </w:pPr>
            <w:r>
              <w:rPr/>
              <w:t>Сельскохозяйственные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Style59"/>
              <w:bidi w:val="0"/>
              <w:rPr/>
            </w:pPr>
            <w:r>
              <w:rPr/>
              <w:t>Тип</w:t>
            </w:r>
          </w:p>
        </w:tc>
        <w:tc>
          <w:tcPr>
            <w:tcW w:w="5103" w:type="dxa"/>
            <w:tcBorders/>
          </w:tcPr>
          <w:p>
            <w:pPr>
              <w:pStyle w:val="Style59"/>
              <w:bidi w:val="0"/>
              <w:rPr/>
            </w:pPr>
            <w:r>
              <w:rPr/>
              <w:t>Сезонные универсальные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Style59"/>
              <w:bidi w:val="0"/>
              <w:rPr/>
            </w:pPr>
            <w:r>
              <w:rPr/>
              <w:t>Периодичность проведения</w:t>
            </w:r>
          </w:p>
        </w:tc>
        <w:tc>
          <w:tcPr>
            <w:tcW w:w="5103" w:type="dxa"/>
            <w:tcBorders/>
          </w:tcPr>
          <w:p>
            <w:pPr>
              <w:pStyle w:val="Style59"/>
              <w:bidi w:val="0"/>
              <w:rPr/>
            </w:pPr>
            <w:r>
              <w:rPr/>
              <w:t>Ежегодные в весенний и осенне-зимний периоды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Normal"/>
              <w:bidi w:val="0"/>
              <w:rPr/>
            </w:pPr>
            <w:r>
              <w:rPr/>
              <w:t>Реквизиты правового акта об</w:t>
            </w:r>
          </w:p>
          <w:p>
            <w:pPr>
              <w:pStyle w:val="Normal"/>
              <w:bidi w:val="0"/>
              <w:rPr/>
            </w:pPr>
            <w:r>
              <w:rPr/>
              <w:t>организации ярмарки</w:t>
            </w:r>
          </w:p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5103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Распоряжение Кабинета Министров Республики Татарстан, Распоряжения Исполнительных комитетов г.г. Казань, Набережные Челны, Нижнекамск, приказ Министерства сельского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хозяйства и продовольствия Республики Татарстан</w:t>
            </w:r>
          </w:p>
          <w:p>
            <w:pPr>
              <w:pStyle w:val="Style59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Style59"/>
              <w:bidi w:val="0"/>
              <w:rPr/>
            </w:pPr>
            <w:r>
              <w:rPr/>
              <w:t>Режим работы</w:t>
            </w:r>
          </w:p>
        </w:tc>
        <w:tc>
          <w:tcPr>
            <w:tcW w:w="5103" w:type="dxa"/>
            <w:tcBorders/>
          </w:tcPr>
          <w:p>
            <w:pPr>
              <w:pStyle w:val="Style59"/>
              <w:bidi w:val="0"/>
              <w:rPr/>
            </w:pPr>
            <w:r>
              <w:rPr/>
              <w:t>Еженедельно по субботам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Style59"/>
              <w:bidi w:val="0"/>
              <w:rPr/>
            </w:pPr>
            <w:r>
              <w:rPr/>
              <w:t>Места проведения ярмарок</w:t>
            </w:r>
          </w:p>
        </w:tc>
        <w:tc>
          <w:tcPr>
            <w:tcW w:w="5103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  <w:bCs/>
              </w:rPr>
              <w:t>г</w:t>
            </w:r>
            <w:r>
              <w:rPr>
                <w:b/>
                <w:bCs/>
              </w:rPr>
              <w:t>. Казань: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1. Открытая торговая площадка АО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«Агропромышленный парк «Казань» (Советский район, улица Аграрная, 2) (55.793981, 49.211359);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2. Площадка перед гипермаркетом «Бахетле» (Ново-Савиновский район, проспект Хусаина Ямашева, 71а) (55.826597, 49.135416);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3. Площадка на территории рынка «Дерби» (Советский район, посёлок Дербышки, улица Липатова, 7) (55.870926, 49.221458);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4. Площадка перед гипермаркетом «Бахетле» (Авиастроительный район, улица Ленинградская, 27)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(55.862616, 49.084608);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5. Площадка перед торговым центром «Ягодная Слобода» (Кировский район, улица Краснококшайская, 150/2) (55.817641, 49.064146);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6. Площадка перед парком имени Карима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Тинчурина (пересечение ул. Карима Тинчурина и ул. Татарстан) 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(55.775587, 49.107282)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7. Проспект Победы, 46 В (55.747761, 49.207085)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8. Шатрова</w:t>
            </w:r>
            <w:r>
              <w:rPr/>
              <w:t>я площадка (ул. Дементьева, 7)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YS Text;Helvetica Neue;Helvetica;Arial;sans-serif" w:hAnsi="YS Text;Helvetica Neue;Helvetica;Arial;sans-serif"/>
                <w:b w:val="false"/>
                <w:i w:val="false"/>
                <w:caps w:val="false"/>
                <w:smallCaps w:val="false"/>
                <w:color w:val="1A1A1A"/>
                <w:spacing w:val="0"/>
                <w:sz w:val="23"/>
              </w:rPr>
              <w:t>(</w:t>
            </w:r>
            <w:r>
              <w:rPr/>
              <w:t>55.859160, 49.100611).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9. Площадка в посёлке Юдино (Кировский район, посёлок Юдино, улица Революционная, 12)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(55.817678, 48.894736);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10. Шатровая площадка по ул. Батыршина, 20 (55.822952, 49.059071);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11.</w:t>
            </w:r>
            <w:r>
              <w:rPr>
                <w:shd w:fill="auto" w:val="clear"/>
              </w:rPr>
              <w:t xml:space="preserve"> Шатровая площадка по ул. Ю. Фучика, </w:t>
            </w:r>
            <w:r>
              <w:rPr>
                <w:shd w:fill="auto" w:val="clear"/>
              </w:rPr>
              <w:t>64</w:t>
            </w:r>
            <w:r>
              <w:rPr>
                <w:shd w:fill="auto" w:val="clear"/>
              </w:rPr>
              <w:t xml:space="preserve">  </w:t>
            </w:r>
            <w:r>
              <w:rPr>
                <w:shd w:fill="auto" w:val="clear"/>
              </w:rPr>
              <w:t>(55.754246, 49.231760)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12. </w:t>
            </w:r>
            <w:r>
              <w:rPr/>
              <w:t>П</w:t>
            </w:r>
            <w:r>
              <w:rPr/>
              <w:t>лощадка на пересечение улиц Беломорская и Гудованцева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(55.867139, 49.020719)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(Еженедельно по воскресеньям)</w:t>
            </w:r>
            <w:r>
              <w:rPr/>
              <w:t>;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13. Шатровая площадка по ул. Академика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Лаврентьева, 10 (55.831680, 49.142774);</w:t>
            </w:r>
          </w:p>
          <w:p>
            <w:pPr>
              <w:pStyle w:val="Normal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г.Набережные Челны: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1. Площадка перед стадион «Строитель»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(Комсомольский район, набережная Габдуллы Тукая, 16) 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(55.681118, 52.302582);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2.</w:t>
            </w:r>
            <w:r>
              <w:rPr/>
              <w:t xml:space="preserve"> Территория Ипподрома (Автозаводской район, проспект Чулман)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(55.762071, 52.405831).</w:t>
            </w:r>
          </w:p>
          <w:p>
            <w:pPr>
              <w:pStyle w:val="Normal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Зеленодольский муниципальный район РТ: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1. Технополис «Новая Тура», площадка возле павильона №1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(55.858197, 48.833007);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2. Площадка перед Торговым центром «Радужный» (пос. Осиново, улица Садовая, 9)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(55.872905, 48.882338).</w:t>
            </w:r>
          </w:p>
          <w:p>
            <w:pPr>
              <w:pStyle w:val="Normal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г.Нижнекамск: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1. </w:t>
            </w:r>
            <w:r>
              <w:rPr/>
              <w:t xml:space="preserve"> ул. Бызова, д.2а, (Площадка ООО «Бызовский рынок»)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(55.657632, 51.824550).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2. ул. Проспект строителей, 2Б (Площадка на центральном рынке ООО «Комета»)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(55.624708, 51.819560)</w:t>
            </w:r>
          </w:p>
          <w:p>
            <w:pPr>
              <w:pStyle w:val="Normal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пгт. Камские поляны:</w:t>
            </w:r>
          </w:p>
          <w:p>
            <w:pPr>
              <w:pStyle w:val="Normal"/>
              <w:bidi w:val="0"/>
              <w:jc w:val="left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>1. ул. Сююмбике, д.7 (Рынок «Чулман-базар»)</w:t>
            </w:r>
          </w:p>
          <w:p>
            <w:pPr>
              <w:pStyle w:val="Normal"/>
              <w:bidi w:val="0"/>
              <w:jc w:val="left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>(55.428861, 51.416491)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rPr/>
      </w:pPr>
      <w:r>
        <w:rPr/>
        <w:t>*-координаты определены при помощи интернет-ресурсов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YS Text">
    <w:altName w:val="Helvetica Neue"/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156</TotalTime>
  <Application>LibreOffice/7.5.6.2$Linux_X86_64 LibreOffice_project/50$Build-2</Application>
  <AppVersion>15.0000</AppVersion>
  <Pages>2</Pages>
  <Words>335</Words>
  <Characters>2405</Characters>
  <CharactersWithSpaces>2677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2024-09-11T12:35:56Z</dcterms:created>
  <dc:creator/>
  <dc:description/>
  <dc:language>ru-RU</dc:language>
  <cp:lastModifiedBy/>
  <dcterms:modified xsi:type="dcterms:W3CDTF">2024-09-11T15:12:01Z</dcterms:modified>
  <cp:revision>6</cp:revision>
  <dc:subject/>
  <dc:title>Default</dc:title>
</cp:coreProperties>
</file>