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/>
        <w:ind w:hanging="6372" w:left="63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ВНИМАНИЕ!   ОБЪЯВЛЕН ОТБОР!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сельского хозяйства и продовольствия Республики Татарстан (далее – Минис</w:t>
      </w:r>
      <w:r>
        <w:rPr>
          <w:rFonts w:ascii="Times New Roman" w:hAnsi="Times New Roman"/>
          <w:sz w:val="28"/>
        </w:rPr>
        <w:t>терство) объявляет прием заявок для участия в отборе на получение из бюджета Республики Татарстан субсидии на возмещение части затрат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(за вычетом расходов на уплату налога на добавленную стоимость), связанных с реализацией товарной рыбы и товарной икры осетровых видов в отчетном финансовом году </w:t>
      </w:r>
      <w:r>
        <w:rPr>
          <w:rFonts w:ascii="Times New Roman" w:hAnsi="Times New Roman"/>
          <w:sz w:val="28"/>
        </w:rPr>
        <w:t>(далее – субсидия).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начала приема заявок: </w:t>
      </w:r>
      <w:r>
        <w:rPr>
          <w:rFonts w:ascii="Times New Roman" w:hAnsi="Times New Roman"/>
          <w:sz w:val="28"/>
        </w:rPr>
        <w:t xml:space="preserve">8 часов 00 минут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окончания приема заявок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16 </w:t>
      </w:r>
      <w:r>
        <w:rPr>
          <w:rFonts w:ascii="Times New Roman" w:hAnsi="Times New Roman"/>
          <w:sz w:val="28"/>
        </w:rPr>
        <w:t>часов 59 минут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начала проведения отбора: 8 часов 00 минут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окончания проведения отбора</w:t>
      </w:r>
      <w:r>
        <w:rPr>
          <w:rFonts w:ascii="Times New Roman" w:hAnsi="Times New Roman"/>
          <w:sz w:val="28"/>
        </w:rPr>
        <w:t>: 16</w:t>
      </w:r>
      <w:r>
        <w:rPr>
          <w:rFonts w:ascii="Times New Roman" w:hAnsi="Times New Roman"/>
          <w:sz w:val="28"/>
        </w:rPr>
        <w:t xml:space="preserve"> часов 59 минут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нахождения, почтовые адреса,</w:t>
      </w:r>
      <w:r>
        <w:rPr>
          <w:rFonts w:ascii="Times New Roman" w:hAnsi="Times New Roman"/>
          <w:sz w:val="28"/>
        </w:rPr>
        <w:t xml:space="preserve"> адреса электронной почты</w:t>
      </w:r>
      <w:r>
        <w:rPr>
          <w:rFonts w:ascii="Times New Roman" w:hAnsi="Times New Roman"/>
          <w:sz w:val="28"/>
        </w:rPr>
        <w:t xml:space="preserve">: 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Министерство: </w:t>
      </w:r>
      <w:r>
        <w:rPr>
          <w:rFonts w:ascii="Times New Roman" w:hAnsi="Times New Roman"/>
          <w:sz w:val="28"/>
        </w:rPr>
        <w:t>г. Казань, ул. Федосеевская, дом 36</w:t>
      </w:r>
      <w:r>
        <w:rPr>
          <w:rFonts w:ascii="Times New Roman" w:hAnsi="Times New Roman"/>
          <w:sz w:val="28"/>
        </w:rPr>
        <w:t xml:space="preserve">, кабинет </w:t>
      </w:r>
      <w:r>
        <w:rPr>
          <w:rFonts w:ascii="Times New Roman" w:hAnsi="Times New Roman"/>
          <w:sz w:val="28"/>
        </w:rPr>
        <w:t>20</w:t>
      </w:r>
      <w:bookmarkStart w:id="1" w:name="_GoBack"/>
      <w:bookmarkEnd w:id="1"/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E-mail: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"mailto:agro@tatar.ru"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agro@tatar.ru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</w:t>
      </w:r>
      <w:r>
        <w:rPr>
          <w:rFonts w:ascii="Times New Roman" w:hAnsi="Times New Roman"/>
          <w:sz w:val="28"/>
        </w:rPr>
        <w:t xml:space="preserve"> предоставления субсидии</w:t>
      </w:r>
      <w:r>
        <w:rPr>
          <w:rFonts w:ascii="Times New Roman" w:hAnsi="Times New Roman"/>
          <w:sz w:val="28"/>
        </w:rPr>
        <w:t xml:space="preserve"> является </w:t>
      </w:r>
      <w:r>
        <w:rPr>
          <w:rFonts w:ascii="Times New Roman" w:hAnsi="Times New Roman"/>
          <w:sz w:val="28"/>
        </w:rPr>
        <w:t>сохранение объема реализации товарной рыбы и (или) товарной икры осетровых видов рыб в текущем финансовом году по состоянию на 31 декабря не менее уровня аналогичного периода года, предшествующего году предоставления субсидии</w:t>
      </w:r>
      <w:r>
        <w:rPr>
          <w:rFonts w:ascii="Times New Roman" w:hAnsi="Times New Roman"/>
          <w:sz w:val="28"/>
        </w:rPr>
        <w:t xml:space="preserve"> (тонн).</w:t>
      </w:r>
    </w:p>
    <w:p w14:paraId="12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"https://agro.tatarstan.ru/"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https://agro.tatarsta</w:t>
      </w:r>
      <w:r>
        <w:rPr>
          <w:rStyle w:val="Style_3_ch"/>
          <w:rFonts w:ascii="Times New Roman" w:hAnsi="Times New Roman"/>
          <w:sz w:val="28"/>
        </w:rPr>
        <w:t>n</w:t>
      </w:r>
      <w:r>
        <w:rPr>
          <w:rStyle w:val="Style_3_ch"/>
          <w:rFonts w:ascii="Times New Roman" w:hAnsi="Times New Roman"/>
          <w:sz w:val="28"/>
        </w:rPr>
        <w:t>.ru/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в информационно-телекоммуникационной сети «Интернет» в разделе «Деятельность» - «Финансирование АПК» - «Отбор» - «202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» - «</w:t>
      </w:r>
      <w:r>
        <w:rPr>
          <w:rFonts w:ascii="Times New Roman" w:hAnsi="Times New Roman"/>
          <w:sz w:val="28"/>
        </w:rPr>
        <w:t>Бюджет РТ</w:t>
      </w:r>
      <w:r>
        <w:rPr>
          <w:rFonts w:ascii="Times New Roman" w:hAnsi="Times New Roman"/>
          <w:sz w:val="28"/>
        </w:rPr>
        <w:t>» - «Отбор продолжается» - «</w:t>
      </w:r>
      <w:r>
        <w:rPr>
          <w:rFonts w:ascii="Times New Roman" w:hAnsi="Times New Roman"/>
          <w:sz w:val="28"/>
        </w:rPr>
        <w:t>Реализация товарной рыбы и (или) товарн</w:t>
      </w:r>
      <w:r>
        <w:rPr>
          <w:rFonts w:ascii="Times New Roman" w:hAnsi="Times New Roman"/>
          <w:sz w:val="28"/>
        </w:rPr>
        <w:t>ой икры осетровых видов рыб с 10.04.2023 по 28</w:t>
      </w:r>
      <w:r>
        <w:rPr>
          <w:rFonts w:ascii="Times New Roman" w:hAnsi="Times New Roman"/>
          <w:sz w:val="28"/>
        </w:rPr>
        <w:t>.04.2023</w:t>
      </w:r>
      <w:r>
        <w:rPr>
          <w:rFonts w:ascii="Times New Roman" w:hAnsi="Times New Roman"/>
          <w:sz w:val="28"/>
        </w:rPr>
        <w:t>».</w:t>
      </w:r>
    </w:p>
    <w:p w14:paraId="13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Критериями отбора заявок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отбора</w:t>
      </w:r>
      <w:r>
        <w:rPr>
          <w:rFonts w:ascii="Times New Roman" w:hAnsi="Times New Roman"/>
          <w:sz w:val="28"/>
        </w:rPr>
        <w:t xml:space="preserve"> являются:</w:t>
      </w:r>
    </w:p>
    <w:p w14:paraId="14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14:paraId="15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деятельности по выращиванию и реализации товарной рыбы и товарной икры осетровых видов рыб;</w:t>
      </w:r>
    </w:p>
    <w:p w14:paraId="16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 собственности или в аренде прудовых водоемов, бассейнов, иных рыбоводных емкостей для выращивания товарной рыбы и товарной икры осетровых видов рыб;</w:t>
      </w:r>
    </w:p>
    <w:p w14:paraId="17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 (или) увеличение в отчетном финансовом году объема реализации рыбоводными хозяйствами товарной рыбы и товарной икры осетровых видов рыб, в тоннах, к аналогичному периоду предшествующего года, за исключением участников отбора, которые начали хозяйственную деятельность в отчетном финансовом году.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на дату подачи заявки должен соответствовать следующим требованиям: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"http://internet.garant.ru/document/redirect/10900200/0"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законодательством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о налогах и сборах;</w:t>
      </w:r>
    </w:p>
    <w:p w14:paraId="1A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1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2" w:name="sub_4074"/>
      <w:r>
        <w:rPr>
          <w:rFonts w:ascii="Times New Roman" w:hAnsi="Times New Roman"/>
          <w:sz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bookmarkStart w:id="3" w:name="sub_4075"/>
      <w:bookmarkEnd w:id="2"/>
      <w:r>
        <w:rPr>
          <w:rFonts w:ascii="Times New Roman" w:hAnsi="Times New Roman"/>
          <w:sz w:val="28"/>
        </w:rPr>
        <w:t xml:space="preserve">          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r>
        <w:rPr>
          <w:rStyle w:val="Style_5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5_ch"/>
          <w:rFonts w:ascii="Times New Roman" w:hAnsi="Times New Roman"/>
          <w:color w:themeColor="text1" w:val="000000"/>
          <w:sz w:val="28"/>
        </w:rPr>
        <w:instrText>HYPERLINK "http://internet.garant.ru/document/redirect/404896369/1000"</w:instrText>
      </w:r>
      <w:r>
        <w:rPr>
          <w:rStyle w:val="Style_5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5_ch"/>
          <w:rFonts w:ascii="Times New Roman" w:hAnsi="Times New Roman"/>
          <w:color w:themeColor="text1" w:val="000000"/>
          <w:sz w:val="28"/>
        </w:rPr>
        <w:t>перечень</w:t>
      </w:r>
      <w:r>
        <w:rPr>
          <w:rStyle w:val="Style_5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>;</w:t>
      </w:r>
      <w:bookmarkStart w:id="4" w:name="sub_4077"/>
      <w:r>
        <w:rPr>
          <w:rFonts w:ascii="Times New Roman" w:hAnsi="Times New Roman"/>
          <w:sz w:val="28"/>
        </w:rPr>
        <w:t xml:space="preserve"> 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  <w:bookmarkEnd w:id="4"/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2022 году участник отбора не должен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</w:t>
      </w:r>
      <w:r>
        <w:rPr>
          <w:rFonts w:ascii="Times New Roman" w:hAnsi="Times New Roman"/>
          <w:sz w:val="28"/>
        </w:rPr>
        <w:t>совершающими недружественные действия в отношении Российской Федерации, граждан Российской Федерации или российских юридических лиц, и (или) введением иностранными государствами, государственными объединениями и (или) союзами и (или) государственными (межгосударственными) учреждениями иностранных государств или государственных объединений и (или) союзов мер ограниченного характера.</w:t>
      </w:r>
      <w:bookmarkEnd w:id="3"/>
    </w:p>
    <w:p w14:paraId="2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Для участия в отборе на получение субсидии участник отбора на официальном сайте информационной системы «Мои субсидии» (далее – сервис) http://subsidiya.tatar.ru или http://subsidiya.tata</w:t>
      </w:r>
      <w:r>
        <w:rPr>
          <w:rFonts w:ascii="Times New Roman" w:hAnsi="Times New Roman"/>
          <w:sz w:val="28"/>
        </w:rPr>
        <w:t>rstan.ru либо в мобильном прило</w:t>
      </w:r>
      <w:r>
        <w:rPr>
          <w:rFonts w:ascii="Times New Roman" w:hAnsi="Times New Roman"/>
          <w:sz w:val="28"/>
        </w:rPr>
        <w:t>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</w:t>
      </w:r>
      <w:r>
        <w:rPr>
          <w:rFonts w:ascii="Times New Roman" w:hAnsi="Times New Roman"/>
          <w:sz w:val="28"/>
        </w:rPr>
        <w:t>рме, утвержденной приказом Мини</w:t>
      </w:r>
      <w:r>
        <w:rPr>
          <w:rFonts w:ascii="Times New Roman" w:hAnsi="Times New Roman"/>
          <w:sz w:val="28"/>
        </w:rPr>
        <w:t>стерства, с указанием своих платежных реквизитов и почтового адреса, с</w:t>
      </w:r>
      <w:r>
        <w:rPr>
          <w:rFonts w:ascii="Times New Roman" w:hAnsi="Times New Roman"/>
          <w:sz w:val="28"/>
        </w:rPr>
        <w:t>одер</w:t>
      </w:r>
      <w:r>
        <w:rPr>
          <w:rFonts w:ascii="Times New Roman" w:hAnsi="Times New Roman"/>
          <w:sz w:val="28"/>
        </w:rPr>
        <w:t>жащую в том числе информацию о соответствии участника отбора требованиям,</w:t>
      </w:r>
      <w:r>
        <w:rPr>
          <w:rFonts w:ascii="Times New Roman" w:hAnsi="Times New Roman"/>
          <w:sz w:val="28"/>
        </w:rPr>
        <w:t xml:space="preserve"> указанным в пункте 7</w:t>
      </w:r>
      <w:r>
        <w:rPr>
          <w:rFonts w:ascii="Times New Roman" w:hAnsi="Times New Roman"/>
          <w:sz w:val="28"/>
        </w:rPr>
        <w:t xml:space="preserve"> Порядка, сог</w:t>
      </w:r>
      <w:r>
        <w:rPr>
          <w:rFonts w:ascii="Times New Roman" w:hAnsi="Times New Roman"/>
          <w:sz w:val="28"/>
        </w:rPr>
        <w:t>ласие участника отбора на публи</w:t>
      </w:r>
      <w:r>
        <w:rPr>
          <w:rFonts w:ascii="Times New Roman" w:hAnsi="Times New Roman"/>
          <w:sz w:val="28"/>
        </w:rPr>
        <w:t>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</w:t>
      </w:r>
      <w:r>
        <w:rPr>
          <w:rFonts w:ascii="Times New Roman" w:hAnsi="Times New Roman"/>
          <w:sz w:val="28"/>
        </w:rPr>
        <w:t>нной с отбором, а также на обра</w:t>
      </w:r>
      <w:r>
        <w:rPr>
          <w:rFonts w:ascii="Times New Roman" w:hAnsi="Times New Roman"/>
          <w:sz w:val="28"/>
        </w:rPr>
        <w:t>ботку персональных данных (для физического л</w:t>
      </w:r>
      <w:r>
        <w:rPr>
          <w:rFonts w:ascii="Times New Roman" w:hAnsi="Times New Roman"/>
          <w:sz w:val="28"/>
        </w:rPr>
        <w:t>ица) и загружает в сервис скани</w:t>
      </w:r>
      <w:r>
        <w:rPr>
          <w:rFonts w:ascii="Times New Roman" w:hAnsi="Times New Roman"/>
          <w:sz w:val="28"/>
        </w:rPr>
        <w:t>рованные копии следующих документов:</w:t>
      </w:r>
    </w:p>
    <w:p w14:paraId="21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5" w:name="sub_4082"/>
      <w:r>
        <w:rPr>
          <w:rFonts w:ascii="Times New Roman" w:hAnsi="Times New Roman"/>
          <w:sz w:val="28"/>
        </w:rPr>
        <w:t>справки-расчета о причитающейся субсидии по форме, утвержденной приказом Министерства;</w:t>
      </w:r>
      <w:bookmarkEnd w:id="5"/>
    </w:p>
    <w:p w14:paraId="2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информации о годовых объемах выращенной и реализованной товарной рыбы и товарной икры осетровых видов рыб за отчетный финансовый год и за год, предшествующий отчетному, на основании которых сформирована статистическая отчетность;</w:t>
      </w:r>
    </w:p>
    <w:p w14:paraId="23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подтверждающих наличие в собственности или в аренде прудовых водоемов, бассейнов, иных рыбоводных емкостей для выращивания товарной рыбы и товарной икры осетровых видов рыб;</w:t>
      </w:r>
    </w:p>
    <w:p w14:paraId="24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реестра документов, подтверждающих объемы реализации, поступление денежных средств на расчетный счет участника отбора за реализованную товарную рыбу и товарную икру осетровых видов рыб за отчетный финансовый год, по форме, утвержденной приказом Министерства, с приложением копий договоров, товарных накладных, выписок банка, платежных поручений (включая авансовые платежи), заверенные банком-получателем;</w:t>
      </w:r>
    </w:p>
    <w:p w14:paraId="25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выписки из государственной информационной системы "Меркурий" об оформленных ветеринарных сопроводительных документах и объемах реализованной товарной рыбы и товарной икры осетровых видов рыб за отчетный финансовый год, заверенные государственным ветеринарным объединением </w:t>
      </w:r>
      <w:r>
        <w:rPr>
          <w:rFonts w:ascii="Times New Roman" w:hAnsi="Times New Roman"/>
          <w:sz w:val="28"/>
        </w:rPr>
        <w:t>муниципального района Республики Татарстан, или копии ветеринарных сопроводительных документов (ветеринарное свидетельство, ветеринарная справка), полученных из государственной информационной системы "Меркурий", на реализованную в отчетном финансовом году товарную рыбу и товарную икру осетровых видов рыб.</w:t>
      </w:r>
    </w:p>
    <w:p w14:paraId="2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получаемые сервисом в автоматическом режиме: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</w:t>
      </w:r>
      <w:r>
        <w:rPr>
          <w:rFonts w:ascii="Times New Roman" w:hAnsi="Times New Roman"/>
          <w:sz w:val="28"/>
        </w:rPr>
        <w:t>абзацами вторым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третьим пункта 6</w:t>
      </w:r>
      <w:r>
        <w:rPr>
          <w:rFonts w:ascii="Times New Roman" w:hAnsi="Times New Roman"/>
          <w:sz w:val="28"/>
        </w:rPr>
        <w:t xml:space="preserve"> и требованиям, установленным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"sub_4074"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абзацами четвертым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"sub_4075"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пятым пункта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Порядка;</w:t>
      </w:r>
      <w:bookmarkStart w:id="6" w:name="sub_4089"/>
      <w:r>
        <w:rPr>
          <w:rFonts w:ascii="Times New Roman" w:hAnsi="Times New Roman"/>
          <w:sz w:val="28"/>
        </w:rPr>
        <w:t xml:space="preserve"> 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"http://internet.garant.ru/document/redirect/10900200/0"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законодательством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 о налогах и сборах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 рублей.</w:t>
      </w:r>
      <w:bookmarkEnd w:id="6"/>
    </w:p>
    <w:p w14:paraId="2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вправе отозвать заявку в любое время до истечения срока приема заявок, устранить недостатки и подать заявку повторно с полным пакетом исправленных документов в срок, определенный для приема заявок. При этом исправленная заявка с пакетом документов регистрируется в день их повторного поступления в порядке очередности поступления заявок.</w:t>
      </w:r>
    </w:p>
    <w:p w14:paraId="2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2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7" w:name="sub_4093"/>
      <w:r>
        <w:rPr>
          <w:rFonts w:ascii="Times New Roman" w:hAnsi="Times New Roman"/>
          <w:sz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</w:t>
      </w:r>
      <w:bookmarkEnd w:id="7"/>
    </w:p>
    <w:p w14:paraId="2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14-го календарного дня, следующего за днем принятия решения о победителях отбора, размещает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"http://internet.garant.ru/document/redirect/8224902/896"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едином портале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"http://internet.garant.ru/document/redirect/8224902/1164"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официальном сайте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14:paraId="2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2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2F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0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bookmarkStart w:id="8" w:name="sub_4098"/>
      <w:r>
        <w:rPr>
          <w:rFonts w:ascii="Times New Roman" w:hAnsi="Times New Roman"/>
          <w:sz w:val="28"/>
        </w:rPr>
        <w:t>наименование победителя (победителей) отбора (далее - получатель субсидии), с которым заключается соглашение, и размер предоставляемой ему субсидии.</w:t>
      </w:r>
      <w:bookmarkEnd w:id="8"/>
    </w:p>
    <w:p w14:paraId="3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Основаниями для отклонения заявки на стадии рассмотрения заявок являются:</w:t>
      </w:r>
    </w:p>
    <w:p w14:paraId="3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требованиям, указанным в пункте 7 Порядка;</w:t>
      </w:r>
    </w:p>
    <w:p w14:paraId="3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14:paraId="3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участником отбора заявки после даты и (или) времени, определенных для подачи заявки;</w:t>
      </w:r>
    </w:p>
    <w:p w14:paraId="3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критериям, указанным в пункте 6 Порядка;</w:t>
      </w:r>
    </w:p>
    <w:p w14:paraId="3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исчерпание лимита бюджетных обязательств.</w:t>
      </w:r>
    </w:p>
    <w:p w14:paraId="3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течение 10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14:paraId="3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соглашении предусматриваются:</w:t>
      </w:r>
    </w:p>
    <w:p w14:paraId="3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субсидии, предоставляемой получателю субсидии, ее целевое назначение, порядок перечисления;</w:t>
      </w:r>
    </w:p>
    <w:p w14:paraId="3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значения результатов предоставления субсидии;</w:t>
      </w:r>
    </w:p>
    <w:p w14:paraId="3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и сроки представления получателем субсидии дополнительных отчетов, установленных Министерством;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 w14:paraId="3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Порядка, приводящего к невозможности предоставления субсидии в размере, определенном в соглашении.</w:t>
      </w:r>
    </w:p>
    <w:p w14:paraId="3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Получатель субсидии признается уклонившимся от заключения соглашения в случае, если в сроки, указанные в абзаце первом настоящего пункта, не </w:t>
      </w:r>
      <w:r>
        <w:rPr>
          <w:rFonts w:ascii="Times New Roman" w:hAnsi="Times New Roman"/>
          <w:sz w:val="28"/>
        </w:rPr>
        <w:t>обеспечил подписание соглашения лицом, имеющим право действовать от имени получателя субсидии.</w:t>
      </w:r>
    </w:p>
    <w:p w14:paraId="4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4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 w14:paraId="4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14:paraId="4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1134" w:footer="709" w:gutter="0" w:header="709" w:left="113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2"/>
    <w:link w:val="Style_3_ch"/>
    <w:rPr>
      <w:color w:themeColor="hyperlink" w:val="0563C1"/>
      <w:u w:val="single"/>
    </w:rPr>
  </w:style>
  <w:style w:styleId="Style_3_ch" w:type="character">
    <w:name w:val="Hyperlink"/>
    <w:basedOn w:val="Style_12_ch"/>
    <w:link w:val="Style_3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5" w:type="paragraph">
    <w:name w:val="Гипертекстовая ссылка"/>
    <w:basedOn w:val="Style_12"/>
    <w:link w:val="Style_5_ch"/>
    <w:rPr>
      <w:b w:val="0"/>
      <w:color w:val="106BBE"/>
    </w:rPr>
  </w:style>
  <w:style w:styleId="Style_5_ch" w:type="character">
    <w:name w:val="Гипертекстовая ссылка"/>
    <w:basedOn w:val="Style_12_ch"/>
    <w:link w:val="Style_5"/>
    <w:rPr>
      <w:b w:val="0"/>
      <w:color w:val="106BBE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1" w:type="paragraph">
    <w:name w:val="Цветовое выделение для Текст"/>
    <w:link w:val="Style_21_ch"/>
    <w:pPr>
      <w:spacing w:after="0" w:line="240" w:lineRule="auto"/>
      <w:ind/>
    </w:pPr>
    <w:rPr>
      <w:rFonts w:ascii="Times New Roman CYR" w:hAnsi="Times New Roman CYR"/>
      <w:color w:val="000000"/>
      <w:sz w:val="24"/>
    </w:rPr>
  </w:style>
  <w:style w:styleId="Style_21_ch" w:type="character">
    <w:name w:val="Цветовое выделение для Текст"/>
    <w:link w:val="Style_21"/>
    <w:rPr>
      <w:rFonts w:ascii="Times New Roman CYR" w:hAnsi="Times New Roman CYR"/>
      <w:color w:val="000000"/>
      <w:sz w:val="24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2023-05-19T04:29:44Z</dcterms:modified>
</cp:coreProperties>
</file>