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spacing w:after="0"/>
        <w:ind w:hanging="6372" w:left="637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ВНИМАНИЕ!   </w:t>
      </w:r>
      <w:r>
        <w:rPr>
          <w:rFonts w:ascii="Times New Roman" w:hAnsi="Times New Roman"/>
          <w:sz w:val="28"/>
        </w:rPr>
        <w:t>ОБЪЯВЛЕН ОТБОР!</w:t>
      </w:r>
    </w:p>
    <w:p w14:paraId="07000000">
      <w:pPr>
        <w:spacing w:after="0" w:line="240" w:lineRule="auto"/>
        <w:ind w:firstLine="709" w:left="0"/>
        <w:jc w:val="right"/>
        <w:rPr>
          <w:rFonts w:ascii="Times New Roman" w:hAnsi="Times New Roman"/>
          <w:sz w:val="28"/>
        </w:rPr>
      </w:pPr>
    </w:p>
    <w:p w14:paraId="0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Министерство сельского хозяйства и продовольствия Республики Татарстан (далее – Министерство) </w:t>
      </w:r>
      <w:r>
        <w:rPr>
          <w:rFonts w:ascii="Times New Roman" w:hAnsi="Times New Roman"/>
          <w:sz w:val="28"/>
        </w:rPr>
        <w:t xml:space="preserve">в соответствии с постановлением Кабинета Министров Республики Татарстан от </w:t>
      </w:r>
      <w:r>
        <w:rPr>
          <w:rFonts w:ascii="Times New Roman" w:hAnsi="Times New Roman"/>
          <w:sz w:val="28"/>
        </w:rPr>
        <w:t>13.06.2022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554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>О мерах государственной поддержки строительства, реконструкции и капитального ремонта объектов агропромышленного комплекса Республики Татарстан</w:t>
      </w:r>
      <w:r>
        <w:rPr>
          <w:rFonts w:ascii="Times New Roman" w:hAnsi="Times New Roman"/>
          <w:sz w:val="28"/>
        </w:rPr>
        <w:t xml:space="preserve">» (далее – Порядок) </w:t>
      </w:r>
      <w:r>
        <w:rPr>
          <w:rFonts w:ascii="Times New Roman" w:hAnsi="Times New Roman"/>
          <w:sz w:val="28"/>
        </w:rPr>
        <w:t xml:space="preserve">объявляет </w:t>
      </w:r>
      <w:r>
        <w:rPr>
          <w:rFonts w:ascii="Times New Roman" w:hAnsi="Times New Roman"/>
          <w:b w:val="1"/>
          <w:sz w:val="28"/>
        </w:rPr>
        <w:t>отбор заявок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от </w:t>
      </w:r>
      <w:r>
        <w:rPr>
          <w:rFonts w:ascii="Times New Roman" w:hAnsi="Times New Roman"/>
          <w:b w:val="1"/>
          <w:sz w:val="28"/>
        </w:rPr>
        <w:t>сельскохозяйственных товаропроизводителей</w:t>
      </w:r>
      <w:r>
        <w:rPr>
          <w:rFonts w:ascii="Times New Roman" w:hAnsi="Times New Roman"/>
          <w:b w:val="1"/>
          <w:sz w:val="28"/>
        </w:rPr>
        <w:t xml:space="preserve"> (далее – участники отбора)</w:t>
      </w:r>
      <w:r>
        <w:rPr>
          <w:rFonts w:ascii="Times New Roman" w:hAnsi="Times New Roman"/>
          <w:sz w:val="28"/>
        </w:rPr>
        <w:t xml:space="preserve"> (за исключением граждан, ведущих личное подсобное хозяйство) на возмещение части затрат, произведенных в отчетном и</w:t>
      </w:r>
      <w:r>
        <w:rPr>
          <w:rFonts w:ascii="Times New Roman" w:hAnsi="Times New Roman"/>
          <w:sz w:val="28"/>
        </w:rPr>
        <w:t xml:space="preserve"> (или) </w:t>
      </w:r>
      <w:r>
        <w:rPr>
          <w:rFonts w:ascii="Times New Roman" w:hAnsi="Times New Roman"/>
          <w:sz w:val="28"/>
        </w:rPr>
        <w:t>текущем</w:t>
      </w:r>
      <w:r>
        <w:rPr>
          <w:rFonts w:ascii="Times New Roman" w:hAnsi="Times New Roman"/>
          <w:sz w:val="28"/>
        </w:rPr>
        <w:t xml:space="preserve"> финансов</w:t>
      </w:r>
      <w:r>
        <w:rPr>
          <w:rFonts w:ascii="Times New Roman" w:hAnsi="Times New Roman"/>
          <w:sz w:val="28"/>
        </w:rPr>
        <w:t>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годах</w:t>
      </w:r>
      <w:r>
        <w:rPr>
          <w:rFonts w:ascii="Times New Roman" w:hAnsi="Times New Roman"/>
          <w:sz w:val="28"/>
        </w:rPr>
        <w:t xml:space="preserve"> (за вычетом расходов на уплату налога на добавленную стоимость и оборудования), </w:t>
      </w:r>
      <w:r>
        <w:rPr>
          <w:rFonts w:ascii="Times New Roman" w:hAnsi="Times New Roman"/>
          <w:b w:val="1"/>
          <w:sz w:val="28"/>
        </w:rPr>
        <w:t xml:space="preserve">связанных с выполнением работ по </w:t>
      </w:r>
      <w:r>
        <w:rPr>
          <w:rFonts w:ascii="Times New Roman" w:hAnsi="Times New Roman"/>
          <w:b w:val="1"/>
          <w:sz w:val="28"/>
        </w:rPr>
        <w:t>строительству коровников мощностью от 140 до 390 голов и (или) овцеводческих ферм мощностью от 500 до 5000 голов</w:t>
      </w:r>
      <w:r>
        <w:rPr>
          <w:rFonts w:ascii="Times New Roman" w:hAnsi="Times New Roman"/>
          <w:sz w:val="28"/>
        </w:rPr>
        <w:t>.</w:t>
      </w:r>
    </w:p>
    <w:p w14:paraId="0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начала приема заявок:</w:t>
      </w:r>
      <w:r>
        <w:rPr>
          <w:rFonts w:ascii="Times New Roman" w:hAnsi="Times New Roman"/>
          <w:sz w:val="28"/>
        </w:rPr>
        <w:t xml:space="preserve"> 5</w:t>
      </w:r>
      <w:r>
        <w:rPr>
          <w:rFonts w:ascii="Times New Roman" w:hAnsi="Times New Roman"/>
          <w:sz w:val="28"/>
        </w:rPr>
        <w:t xml:space="preserve"> декабря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>.</w:t>
      </w:r>
    </w:p>
    <w:p w14:paraId="0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окончания приема заявок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14</w:t>
      </w:r>
      <w:r>
        <w:rPr>
          <w:rFonts w:ascii="Times New Roman" w:hAnsi="Times New Roman"/>
          <w:sz w:val="28"/>
        </w:rPr>
        <w:t xml:space="preserve"> декабря</w:t>
      </w:r>
      <w:r>
        <w:rPr>
          <w:rFonts w:ascii="Times New Roman" w:hAnsi="Times New Roman"/>
          <w:sz w:val="28"/>
        </w:rPr>
        <w:t xml:space="preserve"> 202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>.</w:t>
      </w:r>
    </w:p>
    <w:p w14:paraId="0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Место приема заявок: г. Казань, ул. </w:t>
      </w:r>
      <w:r>
        <w:rPr>
          <w:rFonts w:ascii="Times New Roman" w:hAnsi="Times New Roman"/>
          <w:sz w:val="28"/>
        </w:rPr>
        <w:t>Федосеевская</w:t>
      </w:r>
      <w:r>
        <w:rPr>
          <w:rFonts w:ascii="Times New Roman" w:hAnsi="Times New Roman"/>
          <w:sz w:val="28"/>
        </w:rPr>
        <w:t>, дом 36</w:t>
      </w:r>
      <w:r>
        <w:rPr>
          <w:rFonts w:ascii="Times New Roman" w:hAnsi="Times New Roman"/>
          <w:sz w:val="28"/>
        </w:rPr>
        <w:t xml:space="preserve">, кабинет </w:t>
      </w:r>
      <w:r>
        <w:rPr>
          <w:rFonts w:ascii="Times New Roman" w:hAnsi="Times New Roman"/>
          <w:sz w:val="28"/>
        </w:rPr>
        <w:t>409</w:t>
      </w:r>
      <w:r>
        <w:rPr>
          <w:rFonts w:ascii="Times New Roman" w:hAnsi="Times New Roman"/>
          <w:sz w:val="28"/>
        </w:rPr>
        <w:t>.</w:t>
      </w:r>
    </w:p>
    <w:p w14:paraId="0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E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mail</w:t>
      </w:r>
      <w:r>
        <w:rPr>
          <w:rFonts w:ascii="Times New Roman" w:hAnsi="Times New Roman"/>
          <w:sz w:val="28"/>
        </w:rPr>
        <w:t xml:space="preserve">: </w:t>
      </w:r>
      <w:r>
        <w:rPr>
          <w:rStyle w:val="Style_3_ch"/>
          <w:rFonts w:ascii="Times New Roman" w:hAnsi="Times New Roman"/>
          <w:sz w:val="28"/>
        </w:rPr>
        <w:fldChar w:fldCharType="begin"/>
      </w:r>
      <w:r>
        <w:rPr>
          <w:rStyle w:val="Style_3_ch"/>
          <w:rFonts w:ascii="Times New Roman" w:hAnsi="Times New Roman"/>
          <w:sz w:val="28"/>
        </w:rPr>
        <w:instrText>HYPERLINK "mailto:agro@tatar.ru"</w:instrText>
      </w:r>
      <w:r>
        <w:rPr>
          <w:rStyle w:val="Style_3_ch"/>
          <w:rFonts w:ascii="Times New Roman" w:hAnsi="Times New Roman"/>
          <w:sz w:val="28"/>
        </w:rPr>
        <w:fldChar w:fldCharType="separate"/>
      </w:r>
      <w:r>
        <w:rPr>
          <w:rStyle w:val="Style_3_ch"/>
          <w:rFonts w:ascii="Times New Roman" w:hAnsi="Times New Roman"/>
          <w:sz w:val="28"/>
        </w:rPr>
        <w:t>agro</w:t>
      </w:r>
      <w:r>
        <w:rPr>
          <w:rStyle w:val="Style_3_ch"/>
          <w:rFonts w:ascii="Times New Roman" w:hAnsi="Times New Roman"/>
          <w:sz w:val="28"/>
        </w:rPr>
        <w:t>@</w:t>
      </w:r>
      <w:r>
        <w:rPr>
          <w:rStyle w:val="Style_3_ch"/>
          <w:rFonts w:ascii="Times New Roman" w:hAnsi="Times New Roman"/>
          <w:sz w:val="28"/>
        </w:rPr>
        <w:t>tatar</w:t>
      </w:r>
      <w:r>
        <w:rPr>
          <w:rStyle w:val="Style_3_ch"/>
          <w:rFonts w:ascii="Times New Roman" w:hAnsi="Times New Roman"/>
          <w:sz w:val="28"/>
        </w:rPr>
        <w:t>.</w:t>
      </w:r>
      <w:r>
        <w:rPr>
          <w:rStyle w:val="Style_3_ch"/>
          <w:rFonts w:ascii="Times New Roman" w:hAnsi="Times New Roman"/>
          <w:sz w:val="28"/>
        </w:rPr>
        <w:t>ru</w:t>
      </w:r>
      <w:r>
        <w:rPr>
          <w:rStyle w:val="Style_3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. </w:t>
      </w:r>
    </w:p>
    <w:p w14:paraId="10000000">
      <w:pPr>
        <w:pStyle w:val="Style_4"/>
        <w:ind w:firstLine="709" w:left="0"/>
        <w:contextualSpacing w:val="1"/>
        <w:jc w:val="both"/>
        <w:rPr>
          <w:rFonts w:ascii="Times New Roman" w:hAnsi="Times New Roman"/>
          <w:sz w:val="28"/>
        </w:rPr>
      </w:pPr>
    </w:p>
    <w:p w14:paraId="11000000">
      <w:pPr>
        <w:pStyle w:val="Style_4"/>
        <w:spacing w:before="24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Результатом предоставления субсидии является количество введенных в эксплуатацию коровников мощностью от 140 до 390 голов и (или) овцеводческих ферм мощностью от 500 до 5 000 голов по состоянию на 31 декабря текущего финансового года (единиц).</w:t>
      </w:r>
    </w:p>
    <w:p w14:paraId="12000000">
      <w:pPr>
        <w:pStyle w:val="Style_4"/>
        <w:spacing w:before="24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возникновения в 2022 году обстоятельств, приводящих к невозможности достижения значений результатов предоставления субсидии в сроки, определенные соглашением, Министерство по согласованию с получателем субсидии вправе принять решение о внесении изменений в соглашение в части продления сроков достижения результатов предоставления субсидии (но не более чем на 24 месяца) без изменения размера субсидии.</w:t>
      </w:r>
      <w:r>
        <w:rPr>
          <w:rFonts w:ascii="Times New Roman" w:hAnsi="Times New Roman"/>
          <w:sz w:val="28"/>
        </w:rPr>
        <w:t xml:space="preserve"> В случае </w:t>
      </w:r>
      <w:r>
        <w:rPr>
          <w:rFonts w:ascii="Times New Roman" w:hAnsi="Times New Roman"/>
          <w:sz w:val="28"/>
        </w:rPr>
        <w:t>невозможности достижения результата предоставления субсидии</w:t>
      </w:r>
      <w:r>
        <w:rPr>
          <w:rFonts w:ascii="Times New Roman" w:hAnsi="Times New Roman"/>
          <w:sz w:val="28"/>
        </w:rPr>
        <w:t xml:space="preserve"> без изменения размера субсидии Министерство вправе принять решение об уменьшении значения результата предоставления субсидии.</w:t>
      </w:r>
    </w:p>
    <w:p w14:paraId="13000000">
      <w:pPr>
        <w:pStyle w:val="Style_4"/>
        <w:ind w:firstLine="709" w:left="0"/>
        <w:contextualSpacing w:val="1"/>
        <w:jc w:val="both"/>
        <w:rPr>
          <w:rFonts w:ascii="Times New Roman" w:hAnsi="Times New Roman"/>
          <w:sz w:val="28"/>
        </w:rPr>
      </w:pPr>
    </w:p>
    <w:p w14:paraId="14000000">
      <w:pPr>
        <w:pStyle w:val="Style_4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 по отбору заявок, порядок предоставления субсиди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, формы документов для участия в отборе размещаются на официальном сайте Министерства (</w:t>
      </w:r>
      <w:r>
        <w:rPr>
          <w:rStyle w:val="Style_3_ch"/>
          <w:rFonts w:ascii="Times New Roman" w:hAnsi="Times New Roman"/>
          <w:sz w:val="28"/>
        </w:rPr>
        <w:fldChar w:fldCharType="begin"/>
      </w:r>
      <w:r>
        <w:rPr>
          <w:rStyle w:val="Style_3_ch"/>
          <w:rFonts w:ascii="Times New Roman" w:hAnsi="Times New Roman"/>
          <w:sz w:val="28"/>
        </w:rPr>
        <w:instrText>HYPERLINK "https://agro.tatarstan.ru/"</w:instrText>
      </w:r>
      <w:r>
        <w:rPr>
          <w:rStyle w:val="Style_3_ch"/>
          <w:rFonts w:ascii="Times New Roman" w:hAnsi="Times New Roman"/>
          <w:sz w:val="28"/>
        </w:rPr>
        <w:fldChar w:fldCharType="separate"/>
      </w:r>
      <w:r>
        <w:rPr>
          <w:rStyle w:val="Style_3_ch"/>
          <w:rFonts w:ascii="Times New Roman" w:hAnsi="Times New Roman"/>
          <w:sz w:val="28"/>
        </w:rPr>
        <w:t>https://agro.tatarsta</w:t>
      </w:r>
      <w:r>
        <w:rPr>
          <w:rStyle w:val="Style_3_ch"/>
          <w:rFonts w:ascii="Times New Roman" w:hAnsi="Times New Roman"/>
          <w:sz w:val="28"/>
        </w:rPr>
        <w:t>n</w:t>
      </w:r>
      <w:r>
        <w:rPr>
          <w:rStyle w:val="Style_3_ch"/>
          <w:rFonts w:ascii="Times New Roman" w:hAnsi="Times New Roman"/>
          <w:sz w:val="28"/>
        </w:rPr>
        <w:t>.</w:t>
      </w:r>
      <w:r>
        <w:rPr>
          <w:rStyle w:val="Style_3_ch"/>
          <w:rFonts w:ascii="Times New Roman" w:hAnsi="Times New Roman"/>
          <w:sz w:val="28"/>
        </w:rPr>
        <w:t>ru</w:t>
      </w:r>
      <w:r>
        <w:rPr>
          <w:rStyle w:val="Style_3_ch"/>
          <w:rFonts w:ascii="Times New Roman" w:hAnsi="Times New Roman"/>
          <w:sz w:val="28"/>
        </w:rPr>
        <w:t>/</w:t>
      </w:r>
      <w:r>
        <w:rPr>
          <w:rStyle w:val="Style_3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) в информационно-телекоммуникационной сети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Интернет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в разделе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Деятельность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-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Финансирование АПК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-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Отбор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- </w:t>
      </w:r>
      <w:r>
        <w:rPr>
          <w:rFonts w:ascii="Times New Roman" w:hAnsi="Times New Roman"/>
          <w:sz w:val="28"/>
        </w:rPr>
        <w:t xml:space="preserve">«2022» -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Бюджет РТ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- </w:t>
      </w:r>
      <w:r>
        <w:rPr>
          <w:rFonts w:ascii="Times New Roman" w:hAnsi="Times New Roman"/>
          <w:sz w:val="28"/>
        </w:rPr>
        <w:t xml:space="preserve">«Отбор продолжается» -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Строительство коровников и овцеферм</w:t>
      </w:r>
      <w:r>
        <w:rPr>
          <w:rFonts w:ascii="Times New Roman" w:hAnsi="Times New Roman"/>
          <w:sz w:val="28"/>
        </w:rPr>
        <w:t>_3 отбор</w:t>
      </w:r>
      <w:bookmarkStart w:id="1" w:name="_GoBack"/>
      <w:bookmarkEnd w:id="1"/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14:paraId="15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</w:p>
    <w:p w14:paraId="1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Участник отбора на дату подачи заявки должен соответствовать следующим требованиям:</w:t>
      </w:r>
    </w:p>
    <w:p w14:paraId="1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2022 году у участника отбора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</w:t>
      </w:r>
      <w:r>
        <w:rPr>
          <w:rFonts w:ascii="Times New Roman" w:hAnsi="Times New Roman"/>
          <w:sz w:val="28"/>
        </w:rPr>
        <w:t>. рублей);</w:t>
      </w:r>
    </w:p>
    <w:p w14:paraId="1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bookmarkStart w:id="2" w:name="Par370"/>
      <w:bookmarkEnd w:id="2"/>
      <w:r>
        <w:rPr>
          <w:rFonts w:ascii="Times New Roman" w:hAnsi="Times New Roman"/>
          <w:sz w:val="28"/>
        </w:rPr>
        <w:t xml:space="preserve">не имеет просроченной задолженности по возврату в бюджет Республики Татарстан субсидий, бюджетных инвестиций, </w:t>
      </w:r>
      <w:r>
        <w:rPr>
          <w:rFonts w:ascii="Times New Roman" w:hAnsi="Times New Roman"/>
          <w:sz w:val="28"/>
        </w:rPr>
        <w:t>предоставленных</w:t>
      </w:r>
      <w:r>
        <w:rPr>
          <w:rFonts w:ascii="Times New Roman" w:hAnsi="Times New Roman"/>
          <w:sz w:val="28"/>
        </w:rPr>
        <w:t xml:space="preserve">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14:paraId="1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участник отбора -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- индивидуальный предприниматель не прекратил деятельность в качестве индивидуального предпринимателя;</w:t>
      </w:r>
    </w:p>
    <w:p w14:paraId="1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</w:t>
      </w:r>
      <w:r>
        <w:rPr>
          <w:rFonts w:ascii="Times New Roman" w:hAnsi="Times New Roman"/>
          <w:sz w:val="28"/>
        </w:rPr>
        <w:t xml:space="preserve"> 50 процентов;</w:t>
      </w:r>
    </w:p>
    <w:p w14:paraId="1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 является получателем средств из бюджета Республики Татарстан на основании иных нормативных правовых актов Республики Татарстан на цели, указанные в </w:t>
      </w:r>
      <w:r>
        <w:rPr>
          <w:rFonts w:ascii="Times New Roman" w:hAnsi="Times New Roman"/>
          <w:sz w:val="28"/>
        </w:rPr>
        <w:t>пункте 1</w:t>
      </w:r>
      <w:r>
        <w:rPr>
          <w:rFonts w:ascii="Times New Roman" w:hAnsi="Times New Roman"/>
          <w:sz w:val="28"/>
        </w:rPr>
        <w:t xml:space="preserve"> Порядка;</w:t>
      </w:r>
    </w:p>
    <w:p w14:paraId="1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14:paraId="1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2022 году участник отбора не должен находиться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</w:t>
      </w:r>
      <w:r>
        <w:rPr>
          <w:rFonts w:ascii="Times New Roman" w:hAnsi="Times New Roman"/>
          <w:sz w:val="28"/>
        </w:rPr>
        <w:t>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ограниченного характера.</w:t>
      </w:r>
    </w:p>
    <w:p w14:paraId="1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Критериями отбора получателей субсидии являются:</w:t>
      </w:r>
    </w:p>
    <w:p w14:paraId="2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ведение деятельности на территории Республики Татарстан и уплата налогов в бюджет Республики Татарстан;</w:t>
      </w:r>
    </w:p>
    <w:p w14:paraId="2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осуществление одного или нескольких видов экономической деятельности, предусмотренных Общероссийским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"https://login.consultant.ru/link/?req=doc&amp;base=LAW&amp;n=423453&amp;date=17.08.2022"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классификатором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видов экономической деятельности (ОК 029-2014 (КДЕС</w:t>
      </w:r>
      <w:r>
        <w:rPr>
          <w:rFonts w:ascii="Times New Roman" w:hAnsi="Times New Roman"/>
          <w:sz w:val="28"/>
        </w:rPr>
        <w:t xml:space="preserve"> Р</w:t>
      </w:r>
      <w:r>
        <w:rPr>
          <w:rFonts w:ascii="Times New Roman" w:hAnsi="Times New Roman"/>
          <w:sz w:val="28"/>
        </w:rPr>
        <w:t>ед. 2) - 01.4, 01.5);</w:t>
      </w:r>
    </w:p>
    <w:p w14:paraId="2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наличие в собственности коровников мощностью от 140 до 390 голов и (или) овцеводческих ферм мощностью от 500 до 5 000 голов, построенных в отчетном и (или) текущем финансовых годах;</w:t>
      </w:r>
    </w:p>
    <w:p w14:paraId="2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строительного контроля при строительстве коровников мощностью от 140 до 390 голов и (или) овцеводческих ферм мощностью от 500 до 5 000 голов организацией, имеющей допуск саморегулируемой организации, и при условии, что выполняющие данную работу специалисты включены в Национальный реестр специалистов в области строительства.</w:t>
      </w:r>
    </w:p>
    <w:p w14:paraId="2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участия в отборе на получение субсидии участник отбора представляет в Министерство следующие документы:</w:t>
      </w:r>
    </w:p>
    <w:p w14:paraId="2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заявку по форме, утвержденной приказом Министерства, с указанием своих платежных реквизитов и почтового адреса, адреса электронной почты, содержащую информацию о соответствии участника отбора требованиям, указанным в </w:t>
      </w:r>
      <w:r>
        <w:rPr>
          <w:rFonts w:ascii="Times New Roman" w:hAnsi="Times New Roman"/>
          <w:sz w:val="28"/>
        </w:rPr>
        <w:t>пункте 6</w:t>
      </w:r>
      <w:r>
        <w:rPr>
          <w:rFonts w:ascii="Times New Roman" w:hAnsi="Times New Roman"/>
          <w:sz w:val="28"/>
        </w:rPr>
        <w:t xml:space="preserve"> настоящего Порядка, согласие участника отбора на публикацию (размещение) в информационно-телекоммуникационной сети "Интернет" информации об участнике отбора, о подаваемой участником отбора заявке, иной информации об участнике отбора, связанной с соответствующим отбором, а также</w:t>
      </w:r>
      <w:r>
        <w:rPr>
          <w:rFonts w:ascii="Times New Roman" w:hAnsi="Times New Roman"/>
          <w:sz w:val="28"/>
        </w:rPr>
        <w:t xml:space="preserve"> согласие на обработку персональных данных (для физического лица);</w:t>
      </w:r>
    </w:p>
    <w:p w14:paraId="2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выписку из Единого государственного реестра юридических лиц или Единого государственного реестра индивидуальных предпринимателей (в случае непредставления участником отбора такого документа Министерство запрашивает его самостоятельно);</w:t>
      </w:r>
    </w:p>
    <w:p w14:paraId="2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случае непредставления участником отбора такого документа Министерство запрашивает его самостоятельно) или в 2022 году справку налогового органа о состоянии расчетов по налогам, сборам, страховым взносам, пеням, штрафам, процентам организаций и индивидуальных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предпринимателей, подтверждающую наличие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превышающей 300 тыс. рублей, выданные по состоянию на дату подачи заявки;</w:t>
      </w:r>
    </w:p>
    <w:p w14:paraId="2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справку-расчет о причитающейся субсидии по форме, утвержденной Министерством;</w:t>
      </w:r>
    </w:p>
    <w:p w14:paraId="2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копию положительного </w:t>
      </w:r>
      <w:r>
        <w:rPr>
          <w:rFonts w:ascii="Times New Roman" w:hAnsi="Times New Roman"/>
          <w:sz w:val="28"/>
        </w:rPr>
        <w:t>заключения государственной экспертизы проектной документации объекта капитального строительства</w:t>
      </w:r>
      <w:r>
        <w:rPr>
          <w:rFonts w:ascii="Times New Roman" w:hAnsi="Times New Roman"/>
          <w:sz w:val="28"/>
        </w:rPr>
        <w:t xml:space="preserve"> и результатов инженерных изысканий;</w:t>
      </w:r>
    </w:p>
    <w:p w14:paraId="2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копию положительного заключения государственной экспертизы проектной документации в части проверки </w:t>
      </w:r>
      <w:r>
        <w:rPr>
          <w:rFonts w:ascii="Times New Roman" w:hAnsi="Times New Roman"/>
          <w:sz w:val="28"/>
        </w:rPr>
        <w:t>достоверности определения сметной стоимости строительства объекта капитального</w:t>
      </w:r>
      <w:r>
        <w:rPr>
          <w:rFonts w:ascii="Times New Roman" w:hAnsi="Times New Roman"/>
          <w:sz w:val="28"/>
        </w:rPr>
        <w:t xml:space="preserve"> строительства (для отдельно стоящих объектов капитального строительства с количеством этажей не более двух, общая площадь которых составляет не более 1 500 кв. метров);</w:t>
      </w:r>
    </w:p>
    <w:p w14:paraId="2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копию договора, предусматривающего осуществление строительного </w:t>
      </w:r>
      <w:r>
        <w:rPr>
          <w:rFonts w:ascii="Times New Roman" w:hAnsi="Times New Roman"/>
          <w:sz w:val="28"/>
        </w:rPr>
        <w:t>контроля за</w:t>
      </w:r>
      <w:r>
        <w:rPr>
          <w:rFonts w:ascii="Times New Roman" w:hAnsi="Times New Roman"/>
          <w:sz w:val="28"/>
        </w:rPr>
        <w:t xml:space="preserve"> качеством и объемами выполнения работ;</w:t>
      </w:r>
    </w:p>
    <w:p w14:paraId="2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копию сводного сметного расчета;</w:t>
      </w:r>
    </w:p>
    <w:p w14:paraId="2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копии локальных сметных расчетов;</w:t>
      </w:r>
    </w:p>
    <w:p w14:paraId="2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копии договоров подряда на выполнение строительно-монтажных работ;</w:t>
      </w:r>
    </w:p>
    <w:p w14:paraId="3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копии справок по статистической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"https://login.consultant.ru/link/?req=doc&amp;base=LAW&amp;n=26303&amp;date=17.08.2022&amp;dst=100168&amp;field=134"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форме N КС-2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"Акт о приемке выполненных работ", согласованные на соответствие выполненных работ проектной документации с организацией, осуществляющей строительный контроль;</w:t>
      </w:r>
    </w:p>
    <w:p w14:paraId="3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копии справок по статистической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"https://login.consultant.ru/link/?req=doc&amp;base=LAW&amp;n=26303&amp;date=17.08.2022&amp;dst=100168&amp;field=134"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форме N КС-3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"Справка о стоимости выполненных работ и затрат";</w:t>
      </w:r>
    </w:p>
    <w:p w14:paraId="3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копии платежных поручений, подтверждающих оплату выполненных работ за отчетный и (или) текущий финансовые годы;</w:t>
      </w:r>
    </w:p>
    <w:p w14:paraId="3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копии документов, подтверждающих наличие в собственности коровников мощностью от 140 до 390 голов и (или) овцеводческих ферм мощностью от 500 до 5 000 голов, полученных не ранее отчетного финансового года.</w:t>
      </w:r>
    </w:p>
    <w:p w14:paraId="3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Копии представленных документов заверяются участником отбора.</w:t>
      </w:r>
    </w:p>
    <w:p w14:paraId="3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Участник отбора вправе отозвать заявку в любое время до завершения отбора. При необходимости участник отбора вправе подать заявку повторно в срок, определенный для приема заявок, при этом заявка регистрируется в день поступления в порядке очередности.</w:t>
      </w:r>
    </w:p>
    <w:p w14:paraId="3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3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Основаниями для отклонения заявки на стадии рассмотрения заявок являются:</w:t>
      </w:r>
    </w:p>
    <w:p w14:paraId="3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несоответствие участников отбора требованиям, указанным в </w:t>
      </w:r>
      <w:r>
        <w:rPr>
          <w:rFonts w:ascii="Times New Roman" w:hAnsi="Times New Roman"/>
          <w:sz w:val="28"/>
        </w:rPr>
        <w:t>пункте 6</w:t>
      </w:r>
      <w:r>
        <w:rPr>
          <w:rFonts w:ascii="Times New Roman" w:hAnsi="Times New Roman"/>
          <w:sz w:val="28"/>
        </w:rPr>
        <w:t xml:space="preserve"> Порядка;</w:t>
      </w:r>
    </w:p>
    <w:p w14:paraId="3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несоответствие представленной участником отбора заявки и документов требованиям к заявкам, установленным в объявлении о проведении отбора;</w:t>
      </w:r>
    </w:p>
    <w:p w14:paraId="3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14:paraId="3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подача участником отбора заявки после даты и (или) времени, </w:t>
      </w:r>
      <w:r>
        <w:rPr>
          <w:rFonts w:ascii="Times New Roman" w:hAnsi="Times New Roman"/>
          <w:sz w:val="28"/>
        </w:rPr>
        <w:t>определенных</w:t>
      </w:r>
      <w:r>
        <w:rPr>
          <w:rFonts w:ascii="Times New Roman" w:hAnsi="Times New Roman"/>
          <w:sz w:val="28"/>
        </w:rPr>
        <w:t xml:space="preserve"> для подачи заявки;</w:t>
      </w:r>
    </w:p>
    <w:p w14:paraId="3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несоответствие участников отбора критериям, указанным в </w:t>
      </w:r>
      <w:r>
        <w:rPr>
          <w:rFonts w:ascii="Times New Roman" w:hAnsi="Times New Roman"/>
          <w:sz w:val="28"/>
        </w:rPr>
        <w:t>пункте 5</w:t>
      </w:r>
      <w:r>
        <w:rPr>
          <w:rFonts w:ascii="Times New Roman" w:hAnsi="Times New Roman"/>
          <w:sz w:val="28"/>
        </w:rPr>
        <w:t xml:space="preserve"> Порядка;</w:t>
      </w:r>
    </w:p>
    <w:p w14:paraId="3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исчерпание лимита бюджетных обязательств.</w:t>
      </w:r>
    </w:p>
    <w:p w14:paraId="3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3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Министерство:</w:t>
      </w:r>
    </w:p>
    <w:p w14:paraId="4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течение срока проведения отбора, установленного в объявлении о проведении отбора, регистрирует заявки в день их поступления с указанием даты и времени их приема;</w:t>
      </w:r>
    </w:p>
    <w:p w14:paraId="4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15-дневный срок, исчисляемый в рабочих днях, со дня окончания срока приема заявок, указанного в объявлении о проведении отбора, рассматривает представленные документы на предмет их соответствия требованиям, установленным в объявлении о проведении отбора, формирует реестр о результатах отбора по форме, утвержденной приказом Министерства, и принимает решение об определении победителей отбора либо об отклонении заявки;</w:t>
      </w:r>
    </w:p>
    <w:p w14:paraId="4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позднее 14-го календарного дня, следующего за днем определения победителей отбора, размещает на едином портале и на официальном сайте Министерства в информационно-телекоммуникационной сети "Интернет" информацию о результатах отбора, содержащую следующие сведения:</w:t>
      </w:r>
    </w:p>
    <w:p w14:paraId="4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дату, время и место проведения рассмотрения заявок;</w:t>
      </w:r>
    </w:p>
    <w:p w14:paraId="4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информацию об участниках отбора, заявки которых были рассмотрены;</w:t>
      </w:r>
    </w:p>
    <w:p w14:paraId="4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14:paraId="4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наименование получателя (получателей) субсидии, с которым заключается соглашение, и размер предоставляемой ему субсидии.</w:t>
      </w:r>
    </w:p>
    <w:p w14:paraId="4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4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Министерство в течение пяти рабочих дней со дня размещения на едином портале и на официальном сайте Министерства в информационно-телекоммуникационной сети "Интернет" информации о результатах отбора заключает с получателями субсидии соглашения в соответствии с типовой формой, установленной Министерством финансов Республики Татарстан.</w:t>
      </w:r>
    </w:p>
    <w:p w14:paraId="4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4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соглашении предусматриваются:</w:t>
      </w:r>
    </w:p>
    <w:p w14:paraId="4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размер субсидии, предоставляемой получателю субсидии, ее целевое назначение, порядок перечисления;</w:t>
      </w:r>
    </w:p>
    <w:p w14:paraId="4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значения результатов предоставления субсидии;</w:t>
      </w:r>
    </w:p>
    <w:p w14:paraId="4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 и сроки представления получателем субсидии дополнительных отчетов, установленных Министерством;</w:t>
      </w:r>
    </w:p>
    <w:p w14:paraId="4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 возврата субсидии;</w:t>
      </w:r>
    </w:p>
    <w:p w14:paraId="4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условие о согласовании новых условий соглашения или о расторжении соглашения при </w:t>
      </w:r>
      <w:r>
        <w:rPr>
          <w:rFonts w:ascii="Times New Roman" w:hAnsi="Times New Roman"/>
          <w:sz w:val="28"/>
        </w:rPr>
        <w:t>недостижении</w:t>
      </w:r>
      <w:r>
        <w:rPr>
          <w:rFonts w:ascii="Times New Roman" w:hAnsi="Times New Roman"/>
          <w:sz w:val="28"/>
        </w:rPr>
        <w:t xml:space="preserve"> согласия по новым условиям в случае уменьшения Министерству ранее доведенных лимитов бюджетных обязательств, указанных в </w:t>
      </w:r>
      <w:r>
        <w:rPr>
          <w:rFonts w:ascii="Times New Roman" w:hAnsi="Times New Roman"/>
          <w:sz w:val="28"/>
        </w:rPr>
        <w:t>пункте 2</w:t>
      </w:r>
      <w:r>
        <w:rPr>
          <w:rFonts w:ascii="Times New Roman" w:hAnsi="Times New Roman"/>
          <w:sz w:val="28"/>
        </w:rPr>
        <w:t xml:space="preserve"> Порядка, приводящего к невозможности предоставления субсидии в размере, определенном в соглашении (в 2022 году порядок согласования новых условий соглашения, в том числе при необходимости с участием представителей федерального органа исполнительной власти, осуществляющего функции по выработке государственной политики и нормативно-правовому регулированию в установленной сфере деятельности, в случае, если указанный орган не является стороной соглашения).</w:t>
      </w:r>
    </w:p>
    <w:p w14:paraId="5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необходимости Министерство заключает с получателями субсидии дополнительное соглашение к соглашению, в том числе дополнительное соглашение о расторжении соглашения, в соответствии с типовыми формами, установленными Министерством финансов Республики Татарстан.</w:t>
      </w:r>
    </w:p>
    <w:p w14:paraId="5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5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Получатель субсидии признается уклонившимся от заключения соглашения в случае, если в сроки, указанные в </w:t>
      </w:r>
      <w:r>
        <w:rPr>
          <w:rFonts w:ascii="Times New Roman" w:hAnsi="Times New Roman"/>
          <w:sz w:val="28"/>
        </w:rPr>
        <w:t>абзаце первом пункта 10</w:t>
      </w:r>
      <w:r>
        <w:rPr>
          <w:rFonts w:ascii="Times New Roman" w:hAnsi="Times New Roman"/>
          <w:sz w:val="28"/>
        </w:rPr>
        <w:t xml:space="preserve"> Порядка, не представил в Министерство проект соглашения, подписанный лицом, имеющим право действовать от имени получателя субсидии.</w:t>
      </w:r>
    </w:p>
    <w:p w14:paraId="5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5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инистерство:</w:t>
      </w:r>
    </w:p>
    <w:p w14:paraId="5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позднее пятого рабочего дня со дня истечения указанного в объявлении о проведении отбора срока подписания соглашений принимает решение о предоставлении субсидии получателям субсидии, которое оформляется приказом Министерства;</w:t>
      </w:r>
    </w:p>
    <w:p w14:paraId="5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10-дневный срок, исчисляемый в рабочих днях, со дня принятия решения о предоставлении субсидии осуществляет перечисление денежных средств со своего лицевого счета, открытого в Министерстве финансов Республики Татарстан, на расчетные или корреспондентские счета, открытые получателям субсидии в учреждениях Центрального банка Российской Федерации или кредитных организациях.</w:t>
      </w:r>
    </w:p>
    <w:p w14:paraId="5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5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bookmarkStart w:id="3" w:name="P1035"/>
      <w:bookmarkEnd w:id="3"/>
    </w:p>
    <w:sectPr>
      <w:headerReference r:id="rId1" w:type="first"/>
      <w:headerReference r:id="rId3" w:type="default"/>
      <w:footerReference r:id="rId2" w:type="first"/>
      <w:footerReference r:id="rId4" w:type="default"/>
      <w:pgSz w:h="16838" w:orient="portrait" w:w="11906"/>
      <w:pgMar w:bottom="1134" w:footer="709" w:gutter="0" w:header="709" w:left="1134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3000000">
    <w:pPr>
      <w:pStyle w:val="Style_1"/>
      <w:ind/>
      <w:jc w:val="center"/>
    </w:pP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basedOn w:val="Style_5"/>
    <w:next w:val="Style_5"/>
    <w:link w:val="Style_10_ch"/>
    <w:uiPriority w:val="9"/>
    <w:qFormat/>
    <w:pPr>
      <w:keepNext w:val="1"/>
      <w:spacing w:after="0" w:line="240" w:lineRule="auto"/>
      <w:ind w:firstLine="567" w:left="0" w:right="-766"/>
      <w:jc w:val="center"/>
      <w:outlineLvl w:val="2"/>
    </w:pPr>
    <w:rPr>
      <w:rFonts w:ascii="Cambria" w:hAnsi="Cambria"/>
      <w:b w:val="1"/>
      <w:sz w:val="26"/>
    </w:rPr>
  </w:style>
  <w:style w:styleId="Style_10_ch" w:type="character">
    <w:name w:val="heading 3"/>
    <w:basedOn w:val="Style_5_ch"/>
    <w:link w:val="Style_10"/>
    <w:rPr>
      <w:rFonts w:ascii="Cambria" w:hAnsi="Cambria"/>
      <w:b w:val="1"/>
      <w:sz w:val="26"/>
    </w:rPr>
  </w:style>
  <w:style w:styleId="Style_11" w:type="paragraph">
    <w:name w:val="toc 3"/>
    <w:next w:val="Style_5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5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5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3" w:type="paragraph">
    <w:name w:val="Hyperlink"/>
    <w:basedOn w:val="Style_14"/>
    <w:link w:val="Style_3_ch"/>
    <w:rPr>
      <w:color w:themeColor="hyperlink" w:val="0563C1"/>
      <w:u w:val="single"/>
    </w:rPr>
  </w:style>
  <w:style w:styleId="Style_3_ch" w:type="character">
    <w:name w:val="Hyperlink"/>
    <w:basedOn w:val="Style_14_ch"/>
    <w:link w:val="Style_3"/>
    <w:rPr>
      <w:color w:themeColor="hyperlink" w:val="0563C1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5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5_ch"/>
    <w:link w:val="Style_1"/>
  </w:style>
  <w:style w:styleId="Style_4" w:type="paragraph">
    <w:name w:val="ConsPlusNormal"/>
    <w:link w:val="Style_4_ch"/>
    <w:pPr>
      <w:widowControl w:val="0"/>
      <w:spacing w:after="0" w:line="240" w:lineRule="auto"/>
      <w:ind/>
    </w:pPr>
    <w:rPr>
      <w:rFonts w:ascii="Calibri" w:hAnsi="Calibri"/>
    </w:rPr>
  </w:style>
  <w:style w:styleId="Style_4_ch" w:type="character">
    <w:name w:val="ConsPlusNormal"/>
    <w:link w:val="Style_4"/>
    <w:rPr>
      <w:rFonts w:ascii="Calibri" w:hAnsi="Calibri"/>
    </w:rPr>
  </w:style>
  <w:style w:styleId="Style_18" w:type="paragraph">
    <w:name w:val="toc 9"/>
    <w:next w:val="Style_5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5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5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21" w:type="paragraph">
    <w:name w:val="Subtitle"/>
    <w:next w:val="Style_5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Гипертекстовая ссылка"/>
    <w:basedOn w:val="Style_14"/>
    <w:link w:val="Style_22_ch"/>
    <w:rPr>
      <w:b w:val="0"/>
      <w:color w:val="106BBE"/>
    </w:rPr>
  </w:style>
  <w:style w:styleId="Style_22_ch" w:type="character">
    <w:name w:val="Гипертекстовая ссылка"/>
    <w:basedOn w:val="Style_14_ch"/>
    <w:link w:val="Style_22"/>
    <w:rPr>
      <w:b w:val="0"/>
      <w:color w:val="106BBE"/>
    </w:rPr>
  </w:style>
  <w:style w:styleId="Style_23" w:type="paragraph">
    <w:name w:val="Title"/>
    <w:next w:val="Style_5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5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5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2" w:type="paragraph">
    <w:name w:val="footer"/>
    <w:basedOn w:val="Style_5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5_ch"/>
    <w:link w:val="Style_2"/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7" w:type="table">
    <w:name w:val="Table Grid"/>
    <w:basedOn w:val="Style_26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theme/theme1.xml" Type="http://schemas.openxmlformats.org/officeDocument/2006/relationships/theme"/>
  <Relationship Id="rId9" Target="webSettings.xml" Type="http://schemas.openxmlformats.org/officeDocument/2006/relationships/webSettings"/>
  <Relationship Id="rId8" Target="stylesWithEffects.xml" Type="http://schemas.microsoft.com/office/2007/relationships/stylesWithEffects"/>
  <Relationship Id="rId7" Target="styles.xml" Type="http://schemas.openxmlformats.org/officeDocument/2006/relationships/styles"/>
  <Relationship Id="rId6" Target="settings.xml" Type="http://schemas.openxmlformats.org/officeDocument/2006/relationships/settings"/>
  <Relationship Id="rId5" Target="fontTable.xml" Type="http://schemas.openxmlformats.org/officeDocument/2006/relationships/fontTable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2022-11-29T10:44:21Z</dcterms:modified>
</cp:coreProperties>
</file>