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0"/>
        <w:gridCol w:w="425"/>
      </w:tblGrid>
      <w:tr w:rsidR="00FD06F7" w:rsidRPr="00FD06F7" w:rsidTr="00FD06F7">
        <w:trPr>
          <w:gridAfter w:val="1"/>
          <w:wAfter w:w="227" w:type="pct"/>
          <w:trHeight w:val="1836"/>
        </w:trPr>
        <w:tc>
          <w:tcPr>
            <w:tcW w:w="4773" w:type="pct"/>
            <w:vAlign w:val="center"/>
            <w:hideMark/>
          </w:tcPr>
          <w:tbl>
            <w:tblPr>
              <w:tblW w:w="1470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2"/>
              <w:gridCol w:w="4919"/>
            </w:tblGrid>
            <w:tr w:rsidR="00FD06F7" w:rsidRPr="00FD06F7" w:rsidTr="00FD06F7">
              <w:tc>
                <w:tcPr>
                  <w:tcW w:w="3327" w:type="pct"/>
                  <w:vAlign w:val="center"/>
                  <w:hideMark/>
                </w:tcPr>
                <w:p w:rsidR="00FD06F7" w:rsidRPr="00FD06F7" w:rsidRDefault="00FD06F7" w:rsidP="00FD06F7">
                  <w:pPr>
                    <w:spacing w:after="0" w:line="240" w:lineRule="auto"/>
                    <w:ind w:left="1418" w:right="425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bookmarkStart w:id="0" w:name="_GoBack"/>
                  <w:r w:rsidRPr="00FD06F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Как провести весенне-полевые работы в </w:t>
                  </w: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      </w:t>
                  </w:r>
                  <w:r w:rsidRPr="00FD06F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кормопроизводстве</w:t>
                  </w:r>
                  <w:bookmarkEnd w:id="0"/>
                </w:p>
              </w:tc>
              <w:tc>
                <w:tcPr>
                  <w:tcW w:w="1673" w:type="pct"/>
                  <w:vAlign w:val="center"/>
                  <w:hideMark/>
                </w:tcPr>
                <w:p w:rsidR="00FD06F7" w:rsidRPr="00FD06F7" w:rsidRDefault="00FD06F7" w:rsidP="00FD06F7">
                  <w:pPr>
                    <w:spacing w:after="0" w:line="240" w:lineRule="auto"/>
                    <w:ind w:left="1418" w:right="425" w:firstLine="567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</w:p>
              </w:tc>
            </w:tr>
          </w:tbl>
          <w:p w:rsidR="00FD06F7" w:rsidRPr="00FD06F7" w:rsidRDefault="00FD06F7" w:rsidP="00FD06F7">
            <w:pPr>
              <w:spacing w:after="0" w:line="240" w:lineRule="auto"/>
              <w:ind w:left="1418" w:right="425" w:firstLine="56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D06F7" w:rsidRPr="00FD06F7" w:rsidTr="00FD06F7">
        <w:tc>
          <w:tcPr>
            <w:tcW w:w="9355" w:type="dxa"/>
            <w:gridSpan w:val="2"/>
            <w:vAlign w:val="center"/>
            <w:hideMark/>
          </w:tcPr>
          <w:p w:rsidR="00FD06F7" w:rsidRPr="00FD06F7" w:rsidRDefault="00FD06F7" w:rsidP="00FD06F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Кормопроизводство, являющееся самой масштабной и многофункци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нальной отраслью сельского хозяйства, определяет состояние животново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ства и оказывает влияние на решение проблем дальнейшего развития растениеводства, земледелия, рационального природопользования, сохран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ния ценных сельхозугодий и воспроизводства плодородия почв, повышения их устойчивости к воздействию климата, улучшения экологии и охраны окружающей среды. </w:t>
            </w:r>
          </w:p>
          <w:p w:rsidR="00FD06F7" w:rsidRDefault="00FD06F7" w:rsidP="00FD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Для успешной реализации программы развития животноводства до 2020 года и производства намеченных объемов мяса и молока, на пахотных землях необходимо произвести около 45 млн. тонн фуражного зерна и свыше 50 млн. тонн кормовых единиц объемистых кормов. Поэтому крайне важно в посевную кампанию 2013 года совершенствовать зональные системы кормопроизводства посредством оптимизации видового и сортового состава культур, структуры посевных площадей, размещения в системе севооборотов и освоения ресурсосберегающих технологий их возделывания. 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br/>
              <w:t>На пахотных землях основная цель совершенствования полевого кормопр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изводства - увеличение продуктивности кормовой площади и повышение качества кормов. При этом важно отметить, что увеличение валовых сборов кормов необходимо обеспечить на 75-80 процентов за счет повышения урожайности кормовых культур, а 20-25 процентов за счет расш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ирения их посевных площадей. 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Чтобы корма не стали основной зоной риска в програ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ме развития животн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водства на период до 2020 года, нужно уже сейчас иметь четкие и выполнимые программы производства кормов. Наряду с разрабо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кой программ уже в </w:t>
            </w:r>
            <w:proofErr w:type="gramStart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посевную компанию</w:t>
            </w:r>
            <w:proofErr w:type="gramEnd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 2013 года необходимо приступить к реализации первоочередных мер по восстановлению и развитию полевого кормопроизводства. Для этого нужно усовершенствовать структуры посе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ных площадей кормовых и зернофуражных культур. </w:t>
            </w:r>
            <w:proofErr w:type="gramStart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Прежде всего, необх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димы срочные меры по расширению посевных площадей бобовых (клевера, люцерны, эспарцета, козлятника, гороха, вики, люпина, кормовых бобов) и высокобе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ковых масличных (соя, рапс).</w:t>
            </w:r>
            <w:proofErr w:type="gramEnd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Увеличение доли зернобобовых в валовом сборе кормового зерна с 3,0-3,5 до 12-13 процентов сократит дефицит протеина на 8-10 процентов, а увеличение доли бобового и бобово-злакового растительного сырья до 70 процентов обеспечит содержание сырого протеина в сухом веществе объемистых кормов не менее 14 проце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тов.  </w:t>
            </w:r>
          </w:p>
          <w:p w:rsidR="00FD06F7" w:rsidRDefault="00FD06F7" w:rsidP="00FD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Ведущая группа кормовых культур во всех регионах страны - многоле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ние травы. Из них производится до 60 процентов растительного сырья для заготовки кормов. Стратегическая задача полевого кормопроизводства - увеличить площади многолетних трав, и прежде всего бобовых. Особенно 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 увеличить посевы трав в Центрально-Черноземном, Поволжском и Северо-Кавказском регионах с высоким удельным весом в структуре посевных площадей пропашных культур и паров. В 2012-2013 годах перез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мовка трав сложилась в целом благоприятно. Вместе с тем в отдельных регионах возможны повреждения посевов и их гибель. Поэтому в марте-апреле нужно провести инвентаризацию, запланировав мероприятия по уходу за посевами. При полной гибели одновидовых травостоев бобовых трав поля распахиваются и засеваются яровыми культурами. Если на 1 кв. м сохранилось более 25 растений клевера или люцерны, травостои можно уплотнить однолетними травами в соответствии с рекомендациями научных учреждений. В случае значительного (70 процентов и более) или полного выпадения бобового компонента из состава травосмесей и при хорошей сохранности злаковых компонентов достаточно в начале их роста провести азотную подкормку. На почве с достаточным содержанием подвижного фосфора и обменного калия хорошо сохранившиеся бобовые травы и травосмеси с их участием (не менее 40 процентов) подкармливать азотными удобрениями даже в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артовых дозах нецелесообразно. </w:t>
            </w:r>
          </w:p>
          <w:p w:rsidR="00FD06F7" w:rsidRDefault="00FD06F7" w:rsidP="00FD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Ранней весной постепенное оттаивание и промерзание почвы может прив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сти к обрыву и выпиранию из почвы корней многолетних бобовых трав. Для обеспечения контакта корней с почвой пострадавшие от выпирания трав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стои нужно как можно раньше прикатать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атками, причем лучше гладкими. 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на посевах многолетних трав высокой стерни покровных культур по мере </w:t>
            </w:r>
            <w:proofErr w:type="spellStart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подсыхания</w:t>
            </w:r>
            <w:proofErr w:type="spellEnd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 почвы ее ломают кольчатыми катками или тыльной стороной борон, при необходимости сгребают в валки и удаляют с поля. Боронование целесообразно там, где посевы в значител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ной степени засор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ены ранними яровыми сорняками. 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Для создания полноце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ных травостоев многолетних трав в нынешние весенне-полевые работы нужно следовать рекомендациям зональных и региональных научных учреждений. Общим для всех регионов является тщательная подготовка почвы к посеву. Семена трав мелкие, растения сначала развиваются медле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но. Поэтому посевы следует размещать на полях с минимальной засоренн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стью и достаточной влагообеспеченностью. Поверхность поля нужно хорошо выровнять и прикатать. На легких почвах прикатывание следует проводить и после посева. При такой подготовке почвы всхожесть семян увеличивается на 10-15 процентов, а норма высева семян может быть снижена почти вдвое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сравнению с рекомендациями.  </w:t>
            </w:r>
          </w:p>
          <w:p w:rsidR="00FD06F7" w:rsidRDefault="00FD06F7" w:rsidP="00FD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В хозяйствах мясного направления основная задача - снижение затрат на производство говядины. В таких хозяйствах целесообразно создавать сенокосные травостои длительного пользования на основе козлятника восточного, которые в сочетании с пастбищами обеспечат производство дешевых объемистых кормов. Трав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стои с доминированием козлятника могут использоваться свыше 10 лет при минимальных затратах средств. Козлятник и травосмеси с его участием лучше высевать беспокровно,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бязательно применяя гербициды. 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Вторая, важнейшая группа кормовых культур - однолетние травы. Огромный выбор видов и сортов позволяет 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широко использовать посевы однолетних трав в системах зеленого и сырь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вого конвейеров, производстве самых разнообразных кормов во 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ех климатических зонах страны. </w:t>
            </w:r>
            <w:proofErr w:type="gramStart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В лесной зоне нужно увеличить площади под посевами травосмесей с участием вики яровой и озимой, люпина узколистн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го и желтого, кормовых бобов, рапса ярового и озимого; в южных регионах - сои, вики яровой, гороха посевного и кормового, донника желтого и белого, проса кормового, суданки и других сорговых культур.</w:t>
            </w:r>
            <w:proofErr w:type="gramEnd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 Наиболее эффективны смешанные посевы бобовых и злаковых культур, позволяющие производить качественные корма с использованием биологического азота. Однолетние культуры, высеваемые в различные сроки в промежуточных посевах, обеспечивают животных зелеными кормами с ранней весны до глубокой осени. Ранней весной и осенью возможно пастбищное использование таких посевов. 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Основная силосная культура в стране - кукуруза. Расширение площадей кукурузы на силос необходимо во всех федеральных округах, за исключен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ем </w:t>
            </w:r>
            <w:proofErr w:type="gramStart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Южного</w:t>
            </w:r>
            <w:proofErr w:type="gramEnd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, где доля кукурузы в посевных площадях значительна. Главное условие получения высококачественного силоса из кукурузы - уборка ее в фазе восковой и молочно-восковой спелости. Решающее значение при этом принадлежит выбору возделываемых гибридов по продолжительности вегетации. В районах с суммой активных температур более 2300</w:t>
            </w:r>
            <w:proofErr w:type="gramStart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 °С</w:t>
            </w:r>
            <w:proofErr w:type="gramEnd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, северная граница которых проходит через города Воронеж и Саратов, необходимо возделывать преимущественно </w:t>
            </w:r>
            <w:proofErr w:type="spellStart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среднепозднеспелые</w:t>
            </w:r>
            <w:proofErr w:type="spellEnd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 и среднеспелые гибр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ды; с суммой температур 1850-2300°С - северная граница Калуга, Тула, Рязань, Саранск, Казань, Новосибирск - среднеранние; с суммой температур 1700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-1800°С - 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только раннеспелые гибриды. В районах с меньшей суммой температур основная группа культур для производства силоса - однолетние и многолетние травы, а загущенные посевы кукурузы целесообразно использ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вать на зеленый корм. 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В южных районах с продолжительным периодом вегетации необходимо создавать силосный конвейер из </w:t>
            </w:r>
            <w:proofErr w:type="spellStart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ранне</w:t>
            </w:r>
            <w:proofErr w:type="spellEnd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-, средне- и позднеспелых гибридов кукурузы в соотношении 15-20, 50 и 30-35 процентов от общей площади для снижения нагрузки на уборочные агрегаты. 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br/>
              <w:t>Основная задача в группе зернофуражных культур - совершенствование структуры валовых сборов зерна для повышения их протеиновой и энергет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ческой питательности, а также улучшения аминокислотного состава конце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трированных кормов. Для этого нужно увеличивать площади зернобобовых культур, кукурузы, ячменя и овса, тритикале, для того чтобы снизить потребление пшеницы. Для увеличения валовых сборов зерна необходимо более полно использовать потенциал озимых культур. В большинстве регионов озимые зерновые значительно превосходят яровые по урожайности и окупаемости прибавок зерна от азотных удобрений. В интенсификации производства фуража важная роль принадлежит азотным удобрениям, позволяющим повысить не только урожайность, но и содержание протеина в зерне. Для производства полноценного зернофуража целесообразны смеша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ные посевы зерновых и зернобобовых культур: ячменя и овса с горохом, </w:t>
            </w:r>
            <w:proofErr w:type="spellStart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пелюшкой</w:t>
            </w:r>
            <w:proofErr w:type="spellEnd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, викой яровой, люпином узколистным, кормовыми бобами; ржи и 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тритикале с викой озимой. Доля бобовых культур в смешанных посевах должна составлять не менее 30 процентов. </w:t>
            </w:r>
            <w:proofErr w:type="spellStart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Зерносмеси</w:t>
            </w:r>
            <w:proofErr w:type="spellEnd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 возделывают в Нечерноземной зоне, в Центрально-Черноземном районе, Северном Кавказе, Сибири, Дальнем Востоке. В смешанных посевах высевается от 85 до 100 процентов злакового и 20-25 процентов бобового компонентов от нормы высева. Злаковые и бобовые культуры и их сорта подбирают примерно с один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аковым вегетационным периодом. 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В целом для всех групп культур для успешного проведения весенне-полевых работ и производства необходимого объема качественных кормов при снижении их себестоимости необходимо: 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br/>
              <w:t>-    восстановить или вновь ввести кормовые севообороты, позволяющие максимально использовать почвенно-климатический потенциал территорий для производств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зеленых и объемистых кормов;  </w:t>
            </w:r>
          </w:p>
          <w:p w:rsidR="00FD06F7" w:rsidRDefault="00FD06F7" w:rsidP="00FD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-    провести качественную обработку почвы в возможно ранние и сжатые сроки для сохранения влаги, выравнивания поверхности почвы и создания мелкокомковатого слоя. Первую обработку целесообразно провести широк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захватными сцепками борон, последующие - комбинированными агрегатами, позволяющими за 1-2 прохода обеспечить качественную подготовку почвы к посеву. Сейчас на значительных площадях только на предпосевной обрабо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ке почвы и посеве выполняется раздельно около 10 операций агрегатами низкой производ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тельности, что существенно повышает себестоимость кормов. Качественная обработка почвы позволяет получить ровные и дружные всходы, снизить расход семян однолетних и зернофуражных культур на 15-20 процентов, а многолетних трав почти наполовину; 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br/>
              <w:t>-    обязательно применять органические и минеральные удобрения в рекомендованных дозах. Так, в Нечерноземной зоне при применении удобрений на достаточно окультуренных почвах продуктивность пашни в пропашных севооборотах увеличивается на 75-80 процентов, зернопропа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- 50-55, зернотравяных - 40;  </w:t>
            </w:r>
          </w:p>
          <w:p w:rsidR="00FD06F7" w:rsidRPr="00FD06F7" w:rsidRDefault="00FD06F7" w:rsidP="00FD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-    провести посев семенами районированных сортов кормовых и зерноф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ражных культур с обязательной их обработкой против вредителей и боле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ней. Последнее мероприятие особенно актуально в связи с несоблюдением севооборотов и высоким насыщением посевных площадей отдельными культурами; 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br/>
              <w:t>-    обязательно применять в начальный период роста растений средства защиты от сорняков, вредителей и болезней. На полях со средней засоренн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стью недобор урожая составляет 20-25 процентов, а на сильно засоренных полях - 30-40 процентов и более; при этом значительно ухудшается качество кормов. 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Нынче на лугах ожидается достаточный запас влаги, который может эффе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тивно использоваться для повышения урожайности трав на пастбищах и сенокосах. До начала полевых работ нужно провести </w:t>
            </w:r>
            <w:proofErr w:type="spellStart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агрохозяйственное</w:t>
            </w:r>
            <w:proofErr w:type="spellEnd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 обследование лугов и разработать план мероприятий по улучшению испол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зования каждого конкретного участка с учетом его особенностей. В плане необходимо предусмотреть организацию культурных пастбищ в соотве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ствии с численностью выпасаемого поголовья коров и ремонтного молодняка 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снижения себестоимости животноводческой продукции и повышения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ентабельности ее производства. 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Своевременная организация весенне-полевых работ на природных кормовых угодьях и применение доступных ресурсосберегающих технологий их улучшения позволит быстро повысить продуктивность в 2-3 раза, увеличить производство зеленого корма, сена, сенажа и силоса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трав, улучшив их качество. 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На всех участках нужно собрать мусор во избежание травм у животных и поломок техники; спустить застойную воду с пониженных мест, что особе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но важно для бобово-злаковых травостоев; отремонтировать изгороди на пастбищах, на естестве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ных и сеяных сенокосах и пастбищах с ценными травостоями; провести подкормку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олей минеральными удобрениями. 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Удобрение сенокосов и пастбищ даже при возросшей стоимости минерал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ных удобрений - выгодный прием: при получении прибавки 15-20 корм</w:t>
            </w:r>
            <w:proofErr w:type="gramStart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д. На 1 кг </w:t>
            </w:r>
            <w:proofErr w:type="spellStart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д.в</w:t>
            </w:r>
            <w:proofErr w:type="spellEnd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. азота затраты на его внесение окупаются в 2-2,8 раза. Наиболее быстрый возврат затраченных средств достигается на пастбищах для молочного скота за счет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ыручки от реализуемого молока. </w:t>
            </w:r>
            <w:proofErr w:type="gramStart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Для проведения весенней подкормки первоочередные объекты - сеяные травостои и естественные луга, в составе которых сохран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лось не менее 15-20 процентов рыхлокустовых видов трав (ежа сборная, овсяница луговая, тимофеевка луговая, райграс пастбищный) или корневи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ных видов (кострец безостый, лисохвост луговой, </w:t>
            </w:r>
            <w:proofErr w:type="spellStart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двукисточник</w:t>
            </w:r>
            <w:proofErr w:type="spellEnd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 тростник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вый, мятлик луговой), при отсутствии устойчивых луговых сорняков (щучка - луговик дернистый, щавели конский и курчавый, плотнокустовые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корневищные виды осок др.).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В связи с ограниченной возможностью использования удобрений на лугах в современных условиях можно прим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нять минимальные </w:t>
            </w:r>
            <w:proofErr w:type="spellStart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агрономически</w:t>
            </w:r>
            <w:proofErr w:type="spellEnd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эффективные дозы. При весенней по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кормке наиболее распространенных разнотравно-злаковых лугов рекоменд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ется вносить N45P20K30 на пастб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щах и N60P20K30 на сенокосах, что позволит дополнительно получить 1,2-1,5 тыс. корм, ед./</w:t>
            </w:r>
            <w:proofErr w:type="gramStart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. При позднем начале вегетационного периода злаковые и разнотравно-злаковые травостои, выделяемые для стравливания, необходимо подкормить как можно раньше. </w:t>
            </w:r>
            <w:r w:rsidRPr="00FD06F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Весной на выбывшей из оборота пашне, </w:t>
            </w:r>
            <w:proofErr w:type="spellStart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незасевавшейся</w:t>
            </w:r>
            <w:proofErr w:type="spellEnd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 в предыдущие годы, нужно провести </w:t>
            </w:r>
            <w:proofErr w:type="spellStart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агрохозяйственное</w:t>
            </w:r>
            <w:proofErr w:type="spellEnd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 обследование. </w:t>
            </w:r>
            <w:proofErr w:type="spellStart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Незакустаренные</w:t>
            </w:r>
            <w:proofErr w:type="spellEnd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 площади с более плодородными почвами следует вернуть в пашню. Для этого весной провести обработку почвы дисковыми орудиями (БДТ-3, БДТ-7) в 2-3 следа. Затем, чтобы хорошо заделать сорную растительность, провести отвальную вспашку (плугом с предплужником), разделку пласта дисковыми боронами под культуры сплошного способа посева (</w:t>
            </w:r>
            <w:proofErr w:type="spellStart"/>
            <w:proofErr w:type="gramStart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вико</w:t>
            </w:r>
            <w:proofErr w:type="spellEnd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>-овсяную</w:t>
            </w:r>
            <w:proofErr w:type="gramEnd"/>
            <w:r w:rsidRPr="00FD06F7">
              <w:rPr>
                <w:rFonts w:ascii="Times New Roman" w:hAnsi="Times New Roman" w:cs="Times New Roman"/>
                <w:sz w:val="28"/>
                <w:szCs w:val="28"/>
              </w:rPr>
              <w:t xml:space="preserve"> смесь, ячмень и др.). Площади залежи, заросшие травянистой растительностью, при наличии ценных кормовых растений следует использовать как ранний сенокос, чтобы не допустить созревания семян у сорняков, или как пастбище - организовать выпас молодняка КРС в фазу кущения - выход в трубку злаков (3 раза за сезон). </w:t>
            </w:r>
          </w:p>
        </w:tc>
      </w:tr>
    </w:tbl>
    <w:p w:rsidR="00FD06F7" w:rsidRDefault="00FD06F7" w:rsidP="00FD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0E67" w:rsidRPr="00FD06F7" w:rsidRDefault="00FD06F7" w:rsidP="00FD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6F7">
        <w:rPr>
          <w:rFonts w:ascii="Times New Roman" w:hAnsi="Times New Roman" w:cs="Times New Roman"/>
          <w:sz w:val="28"/>
          <w:szCs w:val="28"/>
        </w:rPr>
        <w:t>Газета «Сельская жизнь» №13, 4-10 апреля 2013 г.</w:t>
      </w:r>
    </w:p>
    <w:sectPr w:rsidR="00350E67" w:rsidRPr="00FD0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428"/>
    <w:rsid w:val="00350E67"/>
    <w:rsid w:val="008A5428"/>
    <w:rsid w:val="00FD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2173</Words>
  <Characters>12389</Characters>
  <Application>Microsoft Office Word</Application>
  <DocSecurity>0</DocSecurity>
  <Lines>103</Lines>
  <Paragraphs>29</Paragraphs>
  <ScaleCrop>false</ScaleCrop>
  <Company>RIVC</Company>
  <LinksUpToDate>false</LinksUpToDate>
  <CharactersWithSpaces>14533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dcterms:created xsi:type="dcterms:W3CDTF">2013-04-11T07:12:00Z</dcterms:created>
  <dcterms:modified xsi:type="dcterms:W3CDTF">2013-04-11T07:20:00Z</dcterms:modified>
</cp:coreProperties>
</file>